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366C0" w:rsidRDefault="00E366C0">
      <w:pPr>
        <w:rPr>
          <w:b/>
        </w:rPr>
      </w:pPr>
      <w:bookmarkStart w:id="0" w:name="_GoBack"/>
      <w:bookmarkEnd w:id="0"/>
      <w:r w:rsidRPr="00250B91">
        <w:rPr>
          <w:b/>
        </w:rPr>
        <w:t>WCPO skipjack tuna</w:t>
      </w:r>
      <w:r w:rsidR="00060401" w:rsidRPr="00250B91">
        <w:rPr>
          <w:b/>
        </w:rPr>
        <w:t xml:space="preserve"> </w:t>
      </w:r>
      <w:r w:rsidR="00250B91">
        <w:rPr>
          <w:rFonts w:hint="eastAsia"/>
          <w:b/>
          <w:lang w:eastAsia="ja-JP"/>
        </w:rPr>
        <w:t xml:space="preserve">     </w:t>
      </w:r>
      <w:r w:rsidR="00060401" w:rsidRPr="00250B91">
        <w:rPr>
          <w:b/>
        </w:rPr>
        <w:t>Draft Recommendation</w:t>
      </w:r>
    </w:p>
    <w:p w:rsidR="00F013B0" w:rsidRPr="00250B91" w:rsidRDefault="00F013B0">
      <w:pPr>
        <w:rPr>
          <w:b/>
        </w:rPr>
      </w:pPr>
    </w:p>
    <w:p w:rsidR="005805FA" w:rsidRDefault="0035466C" w:rsidP="00A3563E">
      <w:r>
        <w:t>S. Mckechnie</w:t>
      </w:r>
      <w:r w:rsidR="00E366C0">
        <w:t xml:space="preserve"> presented SC12-SA-WP-04 (stock assessment of skipjack tuna in the western and central Pacific Ocean)</w:t>
      </w:r>
      <w:r w:rsidR="00501E80">
        <w:t xml:space="preserve"> that assessed the stock of skipjack tuna in the WCPO up to the end of 2015.</w:t>
      </w:r>
      <w:r w:rsidR="00366741">
        <w:t xml:space="preserve"> New developments to the assessment include addressing the recommendations of the previous assessment (2014), exploration of uncertainties in the assessment model, particularly in response to the inclusion of additional years of data, and to improve diagnostic weakness of previous assessments. Other key papers</w:t>
      </w:r>
      <w:r w:rsidR="004D4581">
        <w:t xml:space="preserve"> presented</w:t>
      </w:r>
      <w:r w:rsidR="00366741">
        <w:t xml:space="preserve"> document: 1) methods of estimating standardised catch per unit effort indices, 2) construction of the tagging data input file, 3) revisions and summaries of fisheries definitions,</w:t>
      </w:r>
      <w:r w:rsidR="005805FA">
        <w:t xml:space="preserve"> and the guidance </w:t>
      </w:r>
      <w:r>
        <w:t>of the Pre-assessment workshop.</w:t>
      </w:r>
    </w:p>
    <w:p w:rsidR="00162B34" w:rsidRDefault="00162B34" w:rsidP="00A3563E"/>
    <w:p w:rsidR="00060401" w:rsidRPr="00250B91" w:rsidRDefault="00060401">
      <w:pPr>
        <w:rPr>
          <w:b/>
          <w:lang w:eastAsia="ja-JP"/>
        </w:rPr>
      </w:pPr>
      <w:r w:rsidRPr="00250B91">
        <w:rPr>
          <w:b/>
          <w:lang w:eastAsia="ja-JP"/>
        </w:rPr>
        <w:t>Stock status and trends</w:t>
      </w:r>
    </w:p>
    <w:p w:rsidR="00C06D64" w:rsidRDefault="00BF094D" w:rsidP="00A3563E">
      <w:pPr>
        <w:rPr>
          <w:rFonts w:eastAsia="Batang" w:cs="Times New Roman"/>
          <w:bCs/>
          <w:lang w:val="en-US"/>
        </w:rPr>
      </w:pPr>
      <w:r w:rsidRPr="00E850F7">
        <w:rPr>
          <w:b/>
        </w:rPr>
        <w:t>Option 1 – stock status based on the reference case model</w:t>
      </w:r>
      <w:r w:rsidR="00A3563E">
        <w:rPr>
          <w:b/>
        </w:rPr>
        <w:br/>
      </w:r>
      <w:r w:rsidR="00A3563E">
        <w:rPr>
          <w:b/>
        </w:rPr>
        <w:br/>
      </w:r>
      <w:r w:rsidR="007618EF" w:rsidRPr="00060401">
        <w:rPr>
          <w:rFonts w:eastAsia="MS Mincho" w:cs="Times New Roman"/>
          <w:lang w:val="en-US"/>
        </w:rPr>
        <w:t>SC12 selected the reference case model as the base case t</w:t>
      </w:r>
      <w:r w:rsidR="00060401">
        <w:rPr>
          <w:rFonts w:eastAsia="MS Mincho" w:cs="Times New Roman"/>
          <w:lang w:val="en-US"/>
        </w:rPr>
        <w:t xml:space="preserve">o represent the stock status of </w:t>
      </w:r>
      <w:r w:rsidR="007618EF" w:rsidRPr="00060401">
        <w:rPr>
          <w:rFonts w:eastAsia="MS Mincho" w:cs="Times New Roman"/>
          <w:lang w:val="en-US"/>
        </w:rPr>
        <w:t xml:space="preserve">skipjack tuna. To characterize uncertainty, SC12 chose the structural uncertainty grid. Summaries of important model quantities for these models are shown in </w:t>
      </w:r>
      <w:r w:rsidR="007618EF" w:rsidRPr="00A3563E">
        <w:rPr>
          <w:rFonts w:eastAsia="MS Mincho" w:cs="Times New Roman"/>
          <w:lang w:val="en-US"/>
        </w:rPr>
        <w:t>Table SKJ1</w:t>
      </w:r>
      <w:r w:rsidR="007618EF" w:rsidRPr="00060401">
        <w:rPr>
          <w:rFonts w:eastAsia="MS Mincho" w:cs="Times New Roman"/>
          <w:lang w:val="en-US"/>
        </w:rPr>
        <w:t>.</w:t>
      </w:r>
      <w:r w:rsidR="00A3563E" w:rsidRPr="00A3563E">
        <w:rPr>
          <w:rFonts w:eastAsia="Batang" w:cs="Times New Roman"/>
          <w:b/>
          <w:bCs/>
          <w:lang w:val="en-US"/>
        </w:rPr>
        <w:t xml:space="preserve"> </w:t>
      </w:r>
      <w:r w:rsidR="00A3563E">
        <w:rPr>
          <w:rFonts w:eastAsia="Batang" w:cs="Times New Roman"/>
          <w:b/>
          <w:bCs/>
          <w:lang w:val="en-US"/>
        </w:rPr>
        <w:br/>
      </w:r>
      <w:r w:rsidR="00A3563E">
        <w:rPr>
          <w:rFonts w:eastAsia="Batang" w:cs="Times New Roman"/>
          <w:b/>
          <w:bCs/>
          <w:lang w:val="en-US"/>
        </w:rPr>
        <w:br/>
        <w:t xml:space="preserve">Table SKJ1: </w:t>
      </w:r>
      <w:r w:rsidR="00A3563E">
        <w:rPr>
          <w:rFonts w:eastAsia="Batang" w:cs="Times New Roman"/>
          <w:bCs/>
          <w:lang w:val="en-US"/>
        </w:rPr>
        <w:t xml:space="preserve">Estimates of management quantities for the selected stock assessment models. For the purpose of this assessment, “recent” is the average over the period 2011–2014 and “latest” is 2015. </w:t>
      </w:r>
      <w:r w:rsidR="00C06D64" w:rsidRPr="00C06D64">
        <w:rPr>
          <w:highlight w:val="yellow"/>
        </w:rPr>
        <w:t>(INSERT TABLE 6 FROM THE ASSESSMENT)</w:t>
      </w:r>
    </w:p>
    <w:p w:rsidR="0062079C" w:rsidRDefault="0062079C" w:rsidP="00A3563E">
      <w:pPr>
        <w:rPr>
          <w:rFonts w:eastAsia="Batang" w:cs="Times New Roman"/>
          <w:bCs/>
          <w:lang w:val="en-US"/>
        </w:rPr>
      </w:pPr>
      <w:r>
        <w:rPr>
          <w:noProof/>
          <w:lang w:val="en-US"/>
        </w:rPr>
        <w:drawing>
          <wp:inline distT="0" distB="0" distL="0" distR="0" wp14:anchorId="271B7FA7" wp14:editId="64FCFD5C">
            <wp:extent cx="5731510" cy="1282700"/>
            <wp:effectExtent l="0" t="0" r="2540" b="0"/>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282700"/>
                    </a:xfrm>
                    <a:prstGeom prst="rect">
                      <a:avLst/>
                    </a:prstGeom>
                  </pic:spPr>
                </pic:pic>
              </a:graphicData>
            </a:graphic>
          </wp:inline>
        </w:drawing>
      </w:r>
    </w:p>
    <w:p w:rsidR="00F57FA3" w:rsidRPr="0062079C" w:rsidRDefault="004D4581" w:rsidP="00A3563E">
      <w:r>
        <w:t xml:space="preserve">Trends in estimated </w:t>
      </w:r>
      <w:r w:rsidR="00EA50F9">
        <w:t xml:space="preserve">recruitment, spawning biomass, fishing mortality and depletion are shown in </w:t>
      </w:r>
      <w:r w:rsidR="00EA50F9" w:rsidRPr="00A3563E">
        <w:t>Figures SKJ 1-4</w:t>
      </w:r>
      <w:r w:rsidR="00EA50F9">
        <w:t>.</w:t>
      </w:r>
    </w:p>
    <w:tbl>
      <w:tblPr>
        <w:tblStyle w:val="TableGrid"/>
        <w:tblW w:w="0" w:type="auto"/>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firstRow="1" w:lastRow="0" w:firstColumn="1" w:lastColumn="0" w:noHBand="0" w:noVBand="1"/>
      </w:tblPr>
      <w:tblGrid>
        <w:gridCol w:w="4644"/>
        <w:gridCol w:w="4570"/>
      </w:tblGrid>
      <w:tr w:rsidR="00181F4C" w:rsidRPr="00737053" w:rsidTr="00F57FA3">
        <w:tc>
          <w:tcPr>
            <w:tcW w:w="4644" w:type="dxa"/>
          </w:tcPr>
          <w:p w:rsidR="00F57FA3" w:rsidRPr="00737053" w:rsidRDefault="00F57FA3" w:rsidP="00D31337">
            <w:pPr>
              <w:adjustRightInd w:val="0"/>
              <w:snapToGrid w:val="0"/>
              <w:jc w:val="both"/>
              <w:rPr>
                <w:rFonts w:eastAsia="Malgun Gothic" w:cs="Times New Roman"/>
                <w:b/>
                <w:lang w:val="en-US" w:eastAsia="ko-KR"/>
              </w:rPr>
            </w:pPr>
            <w:r>
              <w:rPr>
                <w:noProof/>
                <w:lang w:val="en-US"/>
              </w:rPr>
              <w:lastRenderedPageBreak/>
              <w:drawing>
                <wp:inline distT="0" distB="0" distL="0" distR="0" wp14:anchorId="364B5DA8" wp14:editId="0454D0B3">
                  <wp:extent cx="2686050" cy="2063750"/>
                  <wp:effectExtent l="0" t="0" r="0" b="0"/>
                  <wp:docPr id="11" name="Picture 7" descr="C:\skj\2016\Writeup\Figures\Stepwise\plot_recruitment_compare_2016_Sensitivities2.png"/>
                  <wp:cNvGraphicFramePr/>
                  <a:graphic xmlns:a="http://schemas.openxmlformats.org/drawingml/2006/main">
                    <a:graphicData uri="http://schemas.openxmlformats.org/drawingml/2006/picture">
                      <pic:pic xmlns:pic="http://schemas.openxmlformats.org/drawingml/2006/picture">
                        <pic:nvPicPr>
                          <pic:cNvPr id="7" name="Picture 7" descr="C:\skj\2016\Writeup\Figures\Stepwise\plot_recruitment_compare_2016_Sensitivities2.png"/>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686050" cy="2063750"/>
                          </a:xfrm>
                          <a:prstGeom prst="rect">
                            <a:avLst/>
                          </a:prstGeom>
                          <a:noFill/>
                          <a:ln>
                            <a:noFill/>
                          </a:ln>
                        </pic:spPr>
                      </pic:pic>
                    </a:graphicData>
                  </a:graphic>
                </wp:inline>
              </w:drawing>
            </w:r>
          </w:p>
        </w:tc>
        <w:tc>
          <w:tcPr>
            <w:tcW w:w="4536" w:type="dxa"/>
          </w:tcPr>
          <w:p w:rsidR="00F57FA3" w:rsidRPr="00737053" w:rsidRDefault="00F57FA3" w:rsidP="00D31337">
            <w:pPr>
              <w:adjustRightInd w:val="0"/>
              <w:snapToGrid w:val="0"/>
              <w:jc w:val="both"/>
              <w:rPr>
                <w:rFonts w:eastAsia="Malgun Gothic" w:cs="Times New Roman"/>
                <w:b/>
                <w:lang w:val="en-US" w:eastAsia="ko-KR"/>
              </w:rPr>
            </w:pPr>
            <w:r>
              <w:rPr>
                <w:noProof/>
                <w:lang w:val="en-US"/>
              </w:rPr>
              <w:drawing>
                <wp:inline distT="0" distB="0" distL="0" distR="0" wp14:anchorId="44D70E43" wp14:editId="094AF2C4">
                  <wp:extent cx="2686050" cy="2146300"/>
                  <wp:effectExtent l="0" t="0" r="0" b="6350"/>
                  <wp:docPr id="15" name="Picture 8" descr="C:\skj\2016\Writeup\Figures\Stepwise\plot_biomass_compare_2016_Sensitivities2.png"/>
                  <wp:cNvGraphicFramePr/>
                  <a:graphic xmlns:a="http://schemas.openxmlformats.org/drawingml/2006/main">
                    <a:graphicData uri="http://schemas.openxmlformats.org/drawingml/2006/picture">
                      <pic:pic xmlns:pic="http://schemas.openxmlformats.org/drawingml/2006/picture">
                        <pic:nvPicPr>
                          <pic:cNvPr id="8" name="Picture 8" descr="C:\skj\2016\Writeup\Figures\Stepwise\plot_biomass_compare_2016_Sensitivities2.png"/>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686050" cy="2146300"/>
                          </a:xfrm>
                          <a:prstGeom prst="rect">
                            <a:avLst/>
                          </a:prstGeom>
                          <a:noFill/>
                          <a:ln>
                            <a:noFill/>
                          </a:ln>
                        </pic:spPr>
                      </pic:pic>
                    </a:graphicData>
                  </a:graphic>
                </wp:inline>
              </w:drawing>
            </w:r>
          </w:p>
        </w:tc>
      </w:tr>
      <w:tr w:rsidR="005A7382" w:rsidRPr="00737053" w:rsidTr="00F57FA3">
        <w:tc>
          <w:tcPr>
            <w:tcW w:w="4644" w:type="dxa"/>
          </w:tcPr>
          <w:p w:rsidR="00F57FA3" w:rsidRPr="00737053" w:rsidRDefault="00F57FA3" w:rsidP="00F57FA3">
            <w:pPr>
              <w:adjustRightInd w:val="0"/>
              <w:snapToGrid w:val="0"/>
              <w:rPr>
                <w:rFonts w:eastAsia="Malgun Gothic" w:cs="Times New Roman"/>
                <w:b/>
                <w:sz w:val="18"/>
                <w:szCs w:val="18"/>
                <w:lang w:val="en-US" w:eastAsia="ko-KR"/>
              </w:rPr>
            </w:pPr>
            <w:r w:rsidRPr="00737053">
              <w:rPr>
                <w:rFonts w:eastAsia="MS Mincho" w:cs="Times New Roman"/>
                <w:b/>
                <w:bCs/>
                <w:sz w:val="18"/>
                <w:szCs w:val="18"/>
                <w:lang w:val="en-US" w:eastAsia="ja-JP"/>
              </w:rPr>
              <w:t xml:space="preserve">Figure SKJ1: </w:t>
            </w:r>
            <w:r w:rsidRPr="00737053">
              <w:rPr>
                <w:rFonts w:eastAsia="MS Mincho" w:cs="Times New Roman"/>
                <w:sz w:val="18"/>
                <w:szCs w:val="18"/>
                <w:lang w:val="en-US" w:eastAsia="ja-JP"/>
              </w:rPr>
              <w:t>Estimated annual recruitment (millions of fish) for the WCPO obtained from</w:t>
            </w:r>
            <w:r w:rsidRPr="00737053">
              <w:rPr>
                <w:rFonts w:eastAsia="MS Mincho" w:cs="Times New Roman"/>
                <w:bCs/>
                <w:sz w:val="18"/>
                <w:szCs w:val="18"/>
                <w:lang w:val="en-US" w:eastAsia="ja-JP"/>
              </w:rPr>
              <w:t xml:space="preserve"> the</w:t>
            </w:r>
            <w:r>
              <w:rPr>
                <w:rFonts w:eastAsia="MS Mincho" w:cs="Times New Roman"/>
                <w:sz w:val="18"/>
                <w:szCs w:val="18"/>
                <w:lang w:val="en-US" w:eastAsia="ja-JP"/>
              </w:rPr>
              <w:t xml:space="preserve"> reference </w:t>
            </w:r>
            <w:r>
              <w:rPr>
                <w:rFonts w:eastAsia="MS Mincho" w:cs="Times New Roman"/>
                <w:bCs/>
                <w:sz w:val="18"/>
                <w:szCs w:val="18"/>
                <w:lang w:val="en-US" w:eastAsia="ja-JP"/>
              </w:rPr>
              <w:t>case model and six</w:t>
            </w:r>
            <w:r w:rsidRPr="00737053">
              <w:rPr>
                <w:rFonts w:eastAsia="MS Mincho" w:cs="Times New Roman"/>
                <w:bCs/>
                <w:sz w:val="18"/>
                <w:szCs w:val="18"/>
                <w:lang w:val="en-US" w:eastAsia="ja-JP"/>
              </w:rPr>
              <w:t xml:space="preserve"> additional runs</w:t>
            </w:r>
            <w:r w:rsidRPr="00737053">
              <w:rPr>
                <w:rFonts w:eastAsia="MS Mincho" w:cs="Times New Roman"/>
                <w:sz w:val="18"/>
                <w:szCs w:val="18"/>
                <w:lang w:val="en-US" w:eastAsia="ja-JP"/>
              </w:rPr>
              <w:t xml:space="preserve">. </w:t>
            </w:r>
          </w:p>
        </w:tc>
        <w:tc>
          <w:tcPr>
            <w:tcW w:w="4536" w:type="dxa"/>
          </w:tcPr>
          <w:p w:rsidR="00F57FA3" w:rsidRPr="00737053" w:rsidRDefault="00F57FA3" w:rsidP="005A7382">
            <w:pPr>
              <w:adjustRightInd w:val="0"/>
              <w:snapToGrid w:val="0"/>
              <w:rPr>
                <w:rFonts w:eastAsia="Malgun Gothic" w:cs="Times New Roman"/>
                <w:b/>
                <w:sz w:val="18"/>
                <w:szCs w:val="18"/>
                <w:lang w:val="en-US" w:eastAsia="ko-KR"/>
              </w:rPr>
            </w:pPr>
            <w:r w:rsidRPr="00737053">
              <w:rPr>
                <w:rFonts w:eastAsia="MS Mincho" w:cs="Times New Roman"/>
                <w:b/>
                <w:sz w:val="18"/>
                <w:szCs w:val="18"/>
                <w:lang w:val="en-US" w:eastAsia="ja-JP"/>
              </w:rPr>
              <w:t xml:space="preserve">Figure SKJ2: </w:t>
            </w:r>
            <w:r w:rsidRPr="00737053">
              <w:rPr>
                <w:rFonts w:eastAsia="MS Mincho" w:cs="Times New Roman"/>
                <w:sz w:val="18"/>
                <w:szCs w:val="18"/>
                <w:lang w:val="en-US" w:eastAsia="ja-JP"/>
              </w:rPr>
              <w:t xml:space="preserve">Estimated annual average spawning potential for the WCPO obtained from </w:t>
            </w:r>
            <w:r w:rsidR="005A7382">
              <w:rPr>
                <w:rFonts w:eastAsia="MS Mincho" w:cs="Times New Roman"/>
                <w:bCs/>
                <w:sz w:val="18"/>
                <w:szCs w:val="18"/>
                <w:lang w:val="en-US" w:eastAsia="ja-JP"/>
              </w:rPr>
              <w:t>the reference case model and six</w:t>
            </w:r>
            <w:r w:rsidRPr="00737053">
              <w:rPr>
                <w:rFonts w:eastAsia="MS Mincho" w:cs="Times New Roman"/>
                <w:bCs/>
                <w:sz w:val="18"/>
                <w:szCs w:val="18"/>
                <w:lang w:val="en-US" w:eastAsia="ja-JP"/>
              </w:rPr>
              <w:t xml:space="preserve"> additional runs.</w:t>
            </w:r>
            <w:r w:rsidRPr="00737053">
              <w:rPr>
                <w:rFonts w:eastAsia="MS Mincho" w:cs="Times New Roman"/>
                <w:sz w:val="18"/>
                <w:szCs w:val="18"/>
                <w:lang w:val="en-US" w:eastAsia="ja-JP"/>
              </w:rPr>
              <w:t xml:space="preserve"> </w:t>
            </w:r>
          </w:p>
        </w:tc>
      </w:tr>
      <w:tr w:rsidR="00181F4C" w:rsidRPr="00737053" w:rsidTr="00F57FA3">
        <w:tc>
          <w:tcPr>
            <w:tcW w:w="4644" w:type="dxa"/>
            <w:vAlign w:val="center"/>
          </w:tcPr>
          <w:p w:rsidR="00F57FA3" w:rsidRPr="00737053" w:rsidRDefault="005A7382" w:rsidP="00F57FA3">
            <w:pPr>
              <w:adjustRightInd w:val="0"/>
              <w:snapToGrid w:val="0"/>
              <w:rPr>
                <w:rFonts w:eastAsia="Malgun Gothic" w:cs="Times New Roman"/>
                <w:b/>
                <w:bCs/>
                <w:lang w:val="en-US" w:eastAsia="ko-KR"/>
              </w:rPr>
            </w:pPr>
            <w:r>
              <w:rPr>
                <w:rFonts w:ascii="Calibri" w:eastAsia="MS Mincho" w:hAnsi="Calibri"/>
                <w:noProof/>
                <w:color w:val="000000"/>
                <w:lang w:val="en-US"/>
              </w:rPr>
              <w:drawing>
                <wp:inline distT="0" distB="0" distL="0" distR="0" wp14:anchorId="205AFB0A" wp14:editId="5D5D74EA">
                  <wp:extent cx="2577948" cy="1733550"/>
                  <wp:effectExtent l="0" t="0" r="0" b="0"/>
                  <wp:docPr id="16" name="Picture 4" descr="C:\skj\2016\Writeup\Figures\Reference_Case\plot_temporal_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skj\2016\Writeup\Figures\Reference_Case\plot_temporal_F.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90423" cy="1741939"/>
                          </a:xfrm>
                          <a:prstGeom prst="rect">
                            <a:avLst/>
                          </a:prstGeom>
                          <a:noFill/>
                          <a:ln>
                            <a:noFill/>
                          </a:ln>
                        </pic:spPr>
                      </pic:pic>
                    </a:graphicData>
                  </a:graphic>
                </wp:inline>
              </w:drawing>
            </w:r>
          </w:p>
        </w:tc>
        <w:tc>
          <w:tcPr>
            <w:tcW w:w="4536" w:type="dxa"/>
            <w:vAlign w:val="center"/>
          </w:tcPr>
          <w:p w:rsidR="00F57FA3" w:rsidRPr="00737053" w:rsidRDefault="005A7382" w:rsidP="00D31337">
            <w:pPr>
              <w:adjustRightInd w:val="0"/>
              <w:snapToGrid w:val="0"/>
              <w:jc w:val="center"/>
              <w:rPr>
                <w:rFonts w:eastAsia="Malgun Gothic" w:cs="Times New Roman"/>
                <w:b/>
                <w:bCs/>
                <w:lang w:val="en-US" w:eastAsia="ko-KR"/>
              </w:rPr>
            </w:pPr>
            <w:r>
              <w:rPr>
                <w:rFonts w:ascii="Calibri" w:eastAsia="MS Mincho" w:hAnsi="Calibri"/>
                <w:noProof/>
                <w:color w:val="000000"/>
                <w:lang w:val="en-US"/>
              </w:rPr>
              <w:drawing>
                <wp:inline distT="0" distB="0" distL="0" distR="0" wp14:anchorId="7B43D956" wp14:editId="74F5B585">
                  <wp:extent cx="2635250" cy="2635250"/>
                  <wp:effectExtent l="0" t="0" r="0" b="0"/>
                  <wp:docPr id="5" name="Picture 5" descr="C:\skj\2016\Writeup\Figures\Reference_Case\plot_fishery_impact_SKJ-SS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skj\2016\Writeup\Figures\Reference_Case\plot_fishery_impact_SKJ-SSB.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635250" cy="2635250"/>
                          </a:xfrm>
                          <a:prstGeom prst="rect">
                            <a:avLst/>
                          </a:prstGeom>
                          <a:noFill/>
                          <a:ln>
                            <a:noFill/>
                          </a:ln>
                        </pic:spPr>
                      </pic:pic>
                    </a:graphicData>
                  </a:graphic>
                </wp:inline>
              </w:drawing>
            </w:r>
          </w:p>
        </w:tc>
      </w:tr>
      <w:tr w:rsidR="005A7382" w:rsidRPr="00737053" w:rsidTr="00F57FA3">
        <w:tc>
          <w:tcPr>
            <w:tcW w:w="4644" w:type="dxa"/>
          </w:tcPr>
          <w:p w:rsidR="00F57FA3" w:rsidRPr="00737053" w:rsidRDefault="00F57FA3" w:rsidP="00F57FA3">
            <w:pPr>
              <w:adjustRightInd w:val="0"/>
              <w:snapToGrid w:val="0"/>
              <w:rPr>
                <w:rFonts w:eastAsia="Malgun Gothic" w:cs="Times New Roman"/>
                <w:b/>
                <w:sz w:val="18"/>
                <w:szCs w:val="18"/>
                <w:lang w:val="en-US" w:eastAsia="ko-KR"/>
              </w:rPr>
            </w:pPr>
            <w:r w:rsidRPr="00737053">
              <w:rPr>
                <w:rFonts w:eastAsia="MS Mincho" w:cs="Times New Roman"/>
                <w:b/>
                <w:sz w:val="18"/>
                <w:szCs w:val="18"/>
                <w:lang w:val="en-US" w:eastAsia="ja-JP"/>
              </w:rPr>
              <w:t xml:space="preserve">Figure SKJ3: </w:t>
            </w:r>
            <w:r w:rsidRPr="00737053">
              <w:rPr>
                <w:rFonts w:eastAsia="MS Mincho" w:cs="Times New Roman"/>
                <w:sz w:val="18"/>
                <w:szCs w:val="18"/>
                <w:lang w:val="en-US" w:eastAsia="ja-JP"/>
              </w:rPr>
              <w:t xml:space="preserve">Estimated annual average juvenile and adult fishing mortality for the WCPO obtained from </w:t>
            </w:r>
            <w:r w:rsidR="005A7382">
              <w:rPr>
                <w:rFonts w:eastAsia="MS Mincho" w:cs="Times New Roman"/>
                <w:bCs/>
                <w:sz w:val="18"/>
                <w:szCs w:val="18"/>
                <w:lang w:val="en-US" w:eastAsia="ja-JP"/>
              </w:rPr>
              <w:t>the reference</w:t>
            </w:r>
            <w:r w:rsidRPr="00737053">
              <w:rPr>
                <w:rFonts w:eastAsia="MS Mincho" w:cs="Times New Roman"/>
                <w:bCs/>
                <w:sz w:val="18"/>
                <w:szCs w:val="18"/>
                <w:lang w:val="en-US" w:eastAsia="ja-JP"/>
              </w:rPr>
              <w:t xml:space="preserve"> case model.</w:t>
            </w:r>
          </w:p>
        </w:tc>
        <w:tc>
          <w:tcPr>
            <w:tcW w:w="4536" w:type="dxa"/>
          </w:tcPr>
          <w:p w:rsidR="00F57FA3" w:rsidRPr="00737053" w:rsidRDefault="00F57FA3" w:rsidP="005A7382">
            <w:pPr>
              <w:adjustRightInd w:val="0"/>
              <w:snapToGrid w:val="0"/>
              <w:jc w:val="both"/>
              <w:rPr>
                <w:rFonts w:eastAsia="Malgun Gothic" w:cs="Times New Roman"/>
                <w:b/>
                <w:bCs/>
                <w:sz w:val="18"/>
                <w:szCs w:val="18"/>
                <w:lang w:val="en-US" w:eastAsia="ko-KR"/>
              </w:rPr>
            </w:pPr>
            <w:r w:rsidRPr="00737053">
              <w:rPr>
                <w:rFonts w:eastAsia="MS Mincho" w:cs="Times New Roman"/>
                <w:b/>
                <w:bCs/>
                <w:sz w:val="18"/>
                <w:szCs w:val="18"/>
                <w:lang w:val="en-US" w:eastAsia="ja-JP"/>
              </w:rPr>
              <w:t xml:space="preserve">Figure SKJ4: </w:t>
            </w:r>
            <w:r w:rsidRPr="00737053">
              <w:rPr>
                <w:rFonts w:eastAsia="MS Mincho" w:cs="Times New Roman"/>
                <w:sz w:val="18"/>
                <w:szCs w:val="18"/>
                <w:lang w:val="en-US" w:eastAsia="ja-JP"/>
              </w:rPr>
              <w:t xml:space="preserve">Estimates of reduction in spawning potential due to fishing (fishery impact = </w:t>
            </w:r>
            <w:r w:rsidRPr="001B06D6">
              <w:rPr>
                <w:rFonts w:eastAsia="MS Mincho" w:cs="Times New Roman"/>
                <w:i/>
                <w:sz w:val="18"/>
                <w:szCs w:val="18"/>
                <w:lang w:val="en-US" w:eastAsia="ja-JP"/>
              </w:rPr>
              <w:t>1-SB</w:t>
            </w:r>
            <w:r w:rsidRPr="001B06D6">
              <w:rPr>
                <w:rFonts w:eastAsia="MS Mincho" w:cs="Times New Roman"/>
                <w:i/>
                <w:sz w:val="18"/>
                <w:szCs w:val="18"/>
                <w:vertAlign w:val="subscript"/>
                <w:lang w:val="en-US" w:eastAsia="ja-JP"/>
              </w:rPr>
              <w:t>t</w:t>
            </w:r>
            <w:r w:rsidRPr="001B06D6">
              <w:rPr>
                <w:rFonts w:eastAsia="MS Mincho" w:cs="Times New Roman"/>
                <w:i/>
                <w:sz w:val="18"/>
                <w:szCs w:val="18"/>
                <w:lang w:val="en-US" w:eastAsia="ja-JP"/>
              </w:rPr>
              <w:t>/SB</w:t>
            </w:r>
            <w:r w:rsidRPr="001B06D6">
              <w:rPr>
                <w:rFonts w:eastAsia="MS Mincho" w:cs="Times New Roman"/>
                <w:i/>
                <w:sz w:val="18"/>
                <w:szCs w:val="18"/>
                <w:vertAlign w:val="subscript"/>
                <w:lang w:val="en-US" w:eastAsia="ja-JP"/>
              </w:rPr>
              <w:t>t</w:t>
            </w:r>
            <w:r w:rsidRPr="001B06D6">
              <w:rPr>
                <w:rFonts w:eastAsia="Malgun Gothic" w:cs="Times New Roman"/>
                <w:i/>
                <w:sz w:val="18"/>
                <w:szCs w:val="18"/>
                <w:vertAlign w:val="subscript"/>
                <w:lang w:val="en-US" w:eastAsia="ko-KR"/>
              </w:rPr>
              <w:t>,</w:t>
            </w:r>
            <w:r w:rsidRPr="001B06D6">
              <w:rPr>
                <w:rFonts w:eastAsia="MS Mincho" w:cs="Times New Roman"/>
                <w:i/>
                <w:sz w:val="18"/>
                <w:szCs w:val="18"/>
                <w:vertAlign w:val="subscript"/>
                <w:lang w:val="en-US" w:eastAsia="ja-JP"/>
              </w:rPr>
              <w:t>F=0</w:t>
            </w:r>
            <w:r w:rsidRPr="00737053">
              <w:rPr>
                <w:rFonts w:eastAsia="MS Mincho" w:cs="Times New Roman"/>
                <w:sz w:val="18"/>
                <w:szCs w:val="18"/>
                <w:lang w:val="en-US" w:eastAsia="ja-JP"/>
              </w:rPr>
              <w:t>) by region and for the WCPO attributed to var</w:t>
            </w:r>
            <w:r w:rsidR="005A7382">
              <w:rPr>
                <w:rFonts w:eastAsia="MS Mincho" w:cs="Times New Roman"/>
                <w:sz w:val="18"/>
                <w:szCs w:val="18"/>
                <w:lang w:val="en-US" w:eastAsia="ja-JP"/>
              </w:rPr>
              <w:t>ious fishery groups for the reference</w:t>
            </w:r>
            <w:r w:rsidRPr="00737053">
              <w:rPr>
                <w:rFonts w:eastAsia="MS Mincho" w:cs="Times New Roman"/>
                <w:sz w:val="18"/>
                <w:szCs w:val="18"/>
                <w:lang w:val="en-US" w:eastAsia="ja-JP"/>
              </w:rPr>
              <w:t xml:space="preserve"> case model. </w:t>
            </w:r>
          </w:p>
        </w:tc>
      </w:tr>
      <w:tr w:rsidR="00181F4C" w:rsidRPr="00737053" w:rsidTr="00F57FA3">
        <w:tc>
          <w:tcPr>
            <w:tcW w:w="4644" w:type="dxa"/>
          </w:tcPr>
          <w:p w:rsidR="00F57FA3" w:rsidRDefault="00181F4C" w:rsidP="00F57FA3">
            <w:pPr>
              <w:adjustRightInd w:val="0"/>
              <w:snapToGrid w:val="0"/>
              <w:jc w:val="both"/>
              <w:rPr>
                <w:rFonts w:eastAsia="MS Mincho" w:cs="Times New Roman"/>
                <w:b/>
                <w:bCs/>
                <w:sz w:val="18"/>
                <w:szCs w:val="18"/>
                <w:lang w:val="en-US" w:eastAsia="ja-JP"/>
              </w:rPr>
            </w:pPr>
            <w:r>
              <w:rPr>
                <w:rFonts w:ascii="Calibri" w:eastAsia="MS Mincho" w:hAnsi="Calibri"/>
                <w:noProof/>
                <w:color w:val="000000"/>
                <w:lang w:val="en-US"/>
              </w:rPr>
              <w:drawing>
                <wp:inline distT="0" distB="0" distL="0" distR="0" wp14:anchorId="5B283212" wp14:editId="3015C12B">
                  <wp:extent cx="2597150" cy="1854200"/>
                  <wp:effectExtent l="0" t="0" r="0" b="0"/>
                  <wp:docPr id="18" name="Picture 1" descr="C:\skj\2016\Writeup\Figures\Reference_Case\plot_Majuro_Tempor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skj\2016\Writeup\Figures\Reference_Case\plot_Majuro_Temporal.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97150" cy="1854200"/>
                          </a:xfrm>
                          <a:prstGeom prst="rect">
                            <a:avLst/>
                          </a:prstGeom>
                          <a:noFill/>
                          <a:ln>
                            <a:noFill/>
                          </a:ln>
                        </pic:spPr>
                      </pic:pic>
                    </a:graphicData>
                  </a:graphic>
                </wp:inline>
              </w:drawing>
            </w:r>
          </w:p>
          <w:p w:rsidR="00EF37EA" w:rsidRDefault="00EF37EA" w:rsidP="00F57FA3">
            <w:pPr>
              <w:adjustRightInd w:val="0"/>
              <w:snapToGrid w:val="0"/>
              <w:jc w:val="both"/>
              <w:rPr>
                <w:rFonts w:eastAsia="MS Mincho" w:cs="Times New Roman"/>
                <w:b/>
                <w:bCs/>
                <w:sz w:val="18"/>
                <w:szCs w:val="18"/>
                <w:lang w:val="en-US" w:eastAsia="ja-JP"/>
              </w:rPr>
            </w:pPr>
          </w:p>
          <w:p w:rsidR="00EF37EA" w:rsidRPr="00737053" w:rsidRDefault="00EF37EA" w:rsidP="00F57FA3">
            <w:pPr>
              <w:adjustRightInd w:val="0"/>
              <w:snapToGrid w:val="0"/>
              <w:jc w:val="both"/>
              <w:rPr>
                <w:rFonts w:eastAsia="MS Mincho" w:cs="Times New Roman"/>
                <w:b/>
                <w:bCs/>
                <w:sz w:val="18"/>
                <w:szCs w:val="18"/>
                <w:lang w:val="en-US" w:eastAsia="ja-JP"/>
              </w:rPr>
            </w:pPr>
            <w:r>
              <w:rPr>
                <w:rFonts w:ascii="Calibri" w:eastAsia="MS Mincho" w:hAnsi="Calibri"/>
                <w:noProof/>
                <w:color w:val="000000"/>
                <w:lang w:val="en-US"/>
              </w:rPr>
              <w:lastRenderedPageBreak/>
              <w:drawing>
                <wp:inline distT="0" distB="0" distL="0" distR="0" wp14:anchorId="78153BF3" wp14:editId="61A9CE50">
                  <wp:extent cx="2514600" cy="1898650"/>
                  <wp:effectExtent l="0" t="0" r="0" b="6350"/>
                  <wp:docPr id="2" name="Picture 2" descr="C:\skj\2016\Writeup\Figures\Grid\plot_Majuro_grid_compa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skj\2016\Writeup\Figures\Grid\plot_Majuro_grid_compare.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14600" cy="1898650"/>
                          </a:xfrm>
                          <a:prstGeom prst="rect">
                            <a:avLst/>
                          </a:prstGeom>
                          <a:noFill/>
                          <a:ln>
                            <a:noFill/>
                          </a:ln>
                        </pic:spPr>
                      </pic:pic>
                    </a:graphicData>
                  </a:graphic>
                </wp:inline>
              </w:drawing>
            </w:r>
          </w:p>
        </w:tc>
        <w:tc>
          <w:tcPr>
            <w:tcW w:w="4536" w:type="dxa"/>
          </w:tcPr>
          <w:p w:rsidR="00F57FA3" w:rsidRPr="00737053" w:rsidRDefault="005A7382" w:rsidP="00F57FA3">
            <w:pPr>
              <w:adjustRightInd w:val="0"/>
              <w:snapToGrid w:val="0"/>
              <w:jc w:val="both"/>
              <w:rPr>
                <w:rFonts w:eastAsia="Batang" w:cs="Times New Roman"/>
                <w:b/>
                <w:bCs/>
                <w:sz w:val="18"/>
                <w:szCs w:val="18"/>
                <w:lang w:val="en-US"/>
              </w:rPr>
            </w:pPr>
            <w:r>
              <w:rPr>
                <w:rFonts w:ascii="Calibri" w:eastAsia="MS Mincho" w:hAnsi="Calibri"/>
                <w:noProof/>
                <w:color w:val="000000"/>
                <w:lang w:val="en-US"/>
              </w:rPr>
              <w:lastRenderedPageBreak/>
              <w:drawing>
                <wp:inline distT="0" distB="0" distL="0" distR="0" wp14:anchorId="23C099A3" wp14:editId="2ED2B59E">
                  <wp:extent cx="2764790" cy="1816100"/>
                  <wp:effectExtent l="0" t="0" r="0" b="0"/>
                  <wp:docPr id="3" name="Picture 3" descr="C:\skj\2016\Writeup\Figures\Reference_Case\plot_temporal_MS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skj\2016\Writeup\Figures\Reference_Case\plot_temporal_MSY.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771804" cy="1820707"/>
                          </a:xfrm>
                          <a:prstGeom prst="rect">
                            <a:avLst/>
                          </a:prstGeom>
                          <a:noFill/>
                          <a:ln>
                            <a:noFill/>
                          </a:ln>
                        </pic:spPr>
                      </pic:pic>
                    </a:graphicData>
                  </a:graphic>
                </wp:inline>
              </w:drawing>
            </w:r>
          </w:p>
        </w:tc>
      </w:tr>
      <w:tr w:rsidR="00181F4C" w:rsidRPr="00737053" w:rsidTr="00F57FA3">
        <w:tc>
          <w:tcPr>
            <w:tcW w:w="4644" w:type="dxa"/>
          </w:tcPr>
          <w:p w:rsidR="00F57FA3" w:rsidRPr="00737053" w:rsidRDefault="00F57FA3" w:rsidP="00EF37EA">
            <w:pPr>
              <w:adjustRightInd w:val="0"/>
              <w:snapToGrid w:val="0"/>
              <w:jc w:val="both"/>
              <w:rPr>
                <w:rFonts w:eastAsia="MS Mincho" w:cs="Times New Roman"/>
                <w:b/>
                <w:bCs/>
                <w:sz w:val="18"/>
                <w:szCs w:val="18"/>
                <w:lang w:val="en-US" w:eastAsia="ja-JP"/>
              </w:rPr>
            </w:pPr>
            <w:r w:rsidRPr="00737053">
              <w:rPr>
                <w:rFonts w:eastAsia="Batang" w:cs="Times New Roman"/>
                <w:b/>
                <w:bCs/>
                <w:sz w:val="18"/>
                <w:szCs w:val="18"/>
                <w:lang w:val="en-US"/>
              </w:rPr>
              <w:lastRenderedPageBreak/>
              <w:t xml:space="preserve">Figure SKJ5: </w:t>
            </w:r>
            <w:r w:rsidR="00EF37EA">
              <w:rPr>
                <w:rFonts w:eastAsia="Batang" w:cs="Times New Roman"/>
                <w:bCs/>
                <w:sz w:val="18"/>
                <w:szCs w:val="18"/>
                <w:lang w:val="en-US"/>
              </w:rPr>
              <w:t>Temporal trend for the reference</w:t>
            </w:r>
            <w:r w:rsidRPr="00737053">
              <w:rPr>
                <w:rFonts w:eastAsia="Batang" w:cs="Times New Roman"/>
                <w:bCs/>
                <w:sz w:val="18"/>
                <w:szCs w:val="18"/>
                <w:lang w:val="en-US"/>
              </w:rPr>
              <w:t xml:space="preserve"> case model (top) and </w:t>
            </w:r>
            <w:r w:rsidR="00EF37EA" w:rsidRPr="00EF37EA">
              <w:rPr>
                <w:rFonts w:eastAsia="Batang" w:cs="Times New Roman"/>
                <w:bCs/>
                <w:sz w:val="18"/>
                <w:szCs w:val="18"/>
                <w:lang w:val="en-US"/>
              </w:rPr>
              <w:t xml:space="preserve"> the structural uncertainty grid (bottom panel)</w:t>
            </w:r>
            <w:r w:rsidRPr="00737053">
              <w:rPr>
                <w:rFonts w:eastAsia="Batang" w:cs="Times New Roman"/>
                <w:bCs/>
                <w:sz w:val="18"/>
                <w:szCs w:val="18"/>
                <w:lang w:val="en-US"/>
              </w:rPr>
              <w:t xml:space="preserve"> in stock status relative to </w:t>
            </w:r>
            <w:r w:rsidRPr="001B06D6">
              <w:rPr>
                <w:rFonts w:eastAsia="Batang" w:cs="Times New Roman"/>
                <w:bCs/>
                <w:i/>
                <w:sz w:val="18"/>
                <w:szCs w:val="18"/>
                <w:lang w:val="en-US"/>
              </w:rPr>
              <w:t>SB</w:t>
            </w:r>
            <w:r w:rsidRPr="001B06D6">
              <w:rPr>
                <w:rFonts w:eastAsia="Batang" w:cs="Times New Roman"/>
                <w:bCs/>
                <w:i/>
                <w:sz w:val="18"/>
                <w:szCs w:val="18"/>
                <w:vertAlign w:val="subscript"/>
                <w:lang w:val="en-US"/>
              </w:rPr>
              <w:t>F=0</w:t>
            </w:r>
            <w:r w:rsidRPr="00737053">
              <w:rPr>
                <w:rFonts w:eastAsia="Batang" w:cs="Times New Roman"/>
                <w:bCs/>
                <w:sz w:val="18"/>
                <w:szCs w:val="18"/>
                <w:lang w:val="en-US"/>
              </w:rPr>
              <w:t xml:space="preserve"> (x-axis) and </w:t>
            </w:r>
            <w:r w:rsidRPr="001B06D6">
              <w:rPr>
                <w:rFonts w:eastAsia="Batang" w:cs="Times New Roman"/>
                <w:bCs/>
                <w:i/>
                <w:sz w:val="18"/>
                <w:szCs w:val="18"/>
                <w:lang w:val="en-US"/>
              </w:rPr>
              <w:t>F</w:t>
            </w:r>
            <w:r w:rsidRPr="001B06D6">
              <w:rPr>
                <w:rFonts w:eastAsia="Batang" w:cs="Times New Roman"/>
                <w:bCs/>
                <w:i/>
                <w:sz w:val="18"/>
                <w:szCs w:val="18"/>
                <w:vertAlign w:val="subscript"/>
                <w:lang w:val="en-US"/>
              </w:rPr>
              <w:t>MSY</w:t>
            </w:r>
            <w:r w:rsidRPr="00737053">
              <w:rPr>
                <w:rFonts w:eastAsia="Batang" w:cs="Times New Roman"/>
                <w:bCs/>
                <w:sz w:val="18"/>
                <w:szCs w:val="18"/>
                <w:lang w:val="en-US"/>
              </w:rPr>
              <w:t xml:space="preserve"> (y-axis). The red zone represents spawning potential levels lower than the agreed</w:t>
            </w:r>
            <w:r>
              <w:rPr>
                <w:rFonts w:eastAsia="Batang" w:cs="Times New Roman"/>
                <w:bCs/>
                <w:sz w:val="18"/>
                <w:szCs w:val="18"/>
                <w:lang w:val="en-US"/>
              </w:rPr>
              <w:t xml:space="preserve"> </w:t>
            </w:r>
            <w:r w:rsidRPr="00737053">
              <w:rPr>
                <w:rFonts w:eastAsia="Batang" w:cs="Times New Roman"/>
                <w:bCs/>
                <w:sz w:val="18"/>
                <w:szCs w:val="18"/>
                <w:lang w:val="en-US" w:eastAsia="ko-KR"/>
              </w:rPr>
              <w:t>LRP</w:t>
            </w:r>
            <w:r>
              <w:rPr>
                <w:rFonts w:eastAsia="Batang" w:cs="Times New Roman"/>
                <w:bCs/>
                <w:sz w:val="18"/>
                <w:szCs w:val="18"/>
                <w:lang w:val="en-US" w:eastAsia="ko-KR"/>
              </w:rPr>
              <w:t>,</w:t>
            </w:r>
            <w:r w:rsidRPr="00737053">
              <w:rPr>
                <w:rFonts w:eastAsia="Batang" w:cs="Times New Roman"/>
                <w:bCs/>
                <w:sz w:val="18"/>
                <w:szCs w:val="18"/>
                <w:lang w:val="en-US"/>
              </w:rPr>
              <w:t xml:space="preserve"> which is marked with the solid black line (</w:t>
            </w:r>
            <w:r w:rsidRPr="001B06D6">
              <w:rPr>
                <w:rFonts w:eastAsia="Batang" w:cs="Times New Roman"/>
                <w:bCs/>
                <w:i/>
                <w:sz w:val="18"/>
                <w:szCs w:val="18"/>
                <w:lang w:val="en-US"/>
              </w:rPr>
              <w:t>0.2SB</w:t>
            </w:r>
            <w:r w:rsidRPr="001B06D6">
              <w:rPr>
                <w:rFonts w:eastAsia="Batang" w:cs="Times New Roman"/>
                <w:bCs/>
                <w:i/>
                <w:sz w:val="18"/>
                <w:szCs w:val="18"/>
                <w:vertAlign w:val="subscript"/>
                <w:lang w:val="en-US"/>
              </w:rPr>
              <w:t>F=0</w:t>
            </w:r>
            <w:r w:rsidRPr="00737053">
              <w:rPr>
                <w:rFonts w:eastAsia="Batang" w:cs="Times New Roman"/>
                <w:bCs/>
                <w:sz w:val="18"/>
                <w:szCs w:val="18"/>
                <w:lang w:val="en-US"/>
              </w:rPr>
              <w:t xml:space="preserve">). The orange region is for fishing mortality greater than </w:t>
            </w:r>
            <w:r w:rsidRPr="001B06D6">
              <w:rPr>
                <w:rFonts w:eastAsia="Batang" w:cs="Times New Roman"/>
                <w:bCs/>
                <w:i/>
                <w:sz w:val="18"/>
                <w:szCs w:val="18"/>
                <w:lang w:val="en-US"/>
              </w:rPr>
              <w:t>F</w:t>
            </w:r>
            <w:r w:rsidRPr="001B06D6">
              <w:rPr>
                <w:rFonts w:eastAsia="Batang" w:cs="Times New Roman"/>
                <w:bCs/>
                <w:i/>
                <w:sz w:val="18"/>
                <w:szCs w:val="18"/>
                <w:vertAlign w:val="subscript"/>
                <w:lang w:val="en-US"/>
              </w:rPr>
              <w:t>MSY</w:t>
            </w:r>
            <w:r w:rsidRPr="00737053">
              <w:rPr>
                <w:rFonts w:eastAsia="Batang" w:cs="Times New Roman"/>
                <w:bCs/>
                <w:sz w:val="18"/>
                <w:szCs w:val="18"/>
                <w:lang w:val="en-US"/>
              </w:rPr>
              <w:t xml:space="preserve"> (</w:t>
            </w:r>
            <w:r w:rsidRPr="001B06D6">
              <w:rPr>
                <w:rFonts w:eastAsia="Batang" w:cs="Times New Roman"/>
                <w:bCs/>
                <w:i/>
                <w:sz w:val="18"/>
                <w:szCs w:val="18"/>
                <w:lang w:val="en-US"/>
              </w:rPr>
              <w:t>F=F</w:t>
            </w:r>
            <w:r w:rsidRPr="001B06D6">
              <w:rPr>
                <w:rFonts w:eastAsia="Batang" w:cs="Times New Roman"/>
                <w:bCs/>
                <w:i/>
                <w:sz w:val="18"/>
                <w:szCs w:val="18"/>
                <w:vertAlign w:val="subscript"/>
                <w:lang w:val="en-US"/>
              </w:rPr>
              <w:t>MSY</w:t>
            </w:r>
            <w:r w:rsidRPr="00737053">
              <w:rPr>
                <w:rFonts w:eastAsia="Batang" w:cs="Times New Roman"/>
                <w:bCs/>
                <w:sz w:val="18"/>
                <w:szCs w:val="18"/>
                <w:lang w:val="en-US"/>
              </w:rPr>
              <w:t>; marked with the black d</w:t>
            </w:r>
            <w:r>
              <w:rPr>
                <w:rFonts w:eastAsia="Batang" w:cs="Times New Roman"/>
                <w:bCs/>
                <w:sz w:val="18"/>
                <w:szCs w:val="18"/>
                <w:lang w:val="en-US"/>
              </w:rPr>
              <w:t>ashed line). The gr</w:t>
            </w:r>
            <w:r w:rsidR="00EF37EA">
              <w:rPr>
                <w:rFonts w:eastAsia="Batang" w:cs="Times New Roman"/>
                <w:bCs/>
                <w:sz w:val="18"/>
                <w:szCs w:val="18"/>
                <w:lang w:val="en-US"/>
              </w:rPr>
              <w:t xml:space="preserve">een line indicates the </w:t>
            </w:r>
            <w:r w:rsidR="005C648E">
              <w:rPr>
                <w:rFonts w:eastAsia="Batang" w:cs="Times New Roman"/>
                <w:bCs/>
                <w:sz w:val="18"/>
                <w:szCs w:val="18"/>
                <w:lang w:val="en-US"/>
              </w:rPr>
              <w:t xml:space="preserve">interium </w:t>
            </w:r>
            <w:r>
              <w:rPr>
                <w:rFonts w:eastAsia="Batang" w:cs="Times New Roman"/>
                <w:bCs/>
                <w:sz w:val="18"/>
                <w:szCs w:val="18"/>
                <w:lang w:val="en-US"/>
              </w:rPr>
              <w:t>target reference point 50%</w:t>
            </w:r>
            <w:r w:rsidRPr="00EF37EA">
              <w:rPr>
                <w:rFonts w:eastAsia="Batang" w:cs="Times New Roman"/>
                <w:bCs/>
                <w:i/>
                <w:sz w:val="18"/>
                <w:szCs w:val="18"/>
                <w:lang w:val="en-US"/>
              </w:rPr>
              <w:t>SB</w:t>
            </w:r>
            <w:r w:rsidRPr="00EF37EA">
              <w:rPr>
                <w:rFonts w:eastAsia="Batang" w:cs="Times New Roman"/>
                <w:bCs/>
                <w:i/>
                <w:sz w:val="16"/>
                <w:szCs w:val="18"/>
                <w:lang w:val="en-US"/>
              </w:rPr>
              <w:t>F=0</w:t>
            </w:r>
            <w:r w:rsidRPr="00EF37EA">
              <w:rPr>
                <w:rFonts w:eastAsia="Batang" w:cs="Times New Roman"/>
                <w:bCs/>
                <w:sz w:val="16"/>
                <w:szCs w:val="18"/>
                <w:lang w:val="en-US"/>
              </w:rPr>
              <w:t>.</w:t>
            </w:r>
          </w:p>
        </w:tc>
        <w:tc>
          <w:tcPr>
            <w:tcW w:w="4536" w:type="dxa"/>
          </w:tcPr>
          <w:p w:rsidR="00F57FA3" w:rsidRPr="00737053" w:rsidRDefault="00F57FA3" w:rsidP="00F57FA3">
            <w:pPr>
              <w:adjustRightInd w:val="0"/>
              <w:snapToGrid w:val="0"/>
              <w:jc w:val="both"/>
              <w:rPr>
                <w:rFonts w:eastAsia="Batang" w:cs="Times New Roman"/>
                <w:b/>
                <w:bCs/>
                <w:sz w:val="18"/>
                <w:szCs w:val="18"/>
                <w:lang w:val="en-US"/>
              </w:rPr>
            </w:pPr>
            <w:r w:rsidRPr="00737053">
              <w:rPr>
                <w:rFonts w:eastAsia="Batang" w:cs="Times New Roman"/>
                <w:b/>
                <w:bCs/>
                <w:sz w:val="18"/>
                <w:szCs w:val="18"/>
                <w:lang w:val="en-US"/>
              </w:rPr>
              <w:t xml:space="preserve">Figure SKJ6: </w:t>
            </w:r>
            <w:r w:rsidRPr="00737053">
              <w:rPr>
                <w:rFonts w:eastAsia="Batang" w:cs="Times New Roman"/>
                <w:bCs/>
                <w:sz w:val="18"/>
                <w:szCs w:val="18"/>
                <w:lang w:val="en-US"/>
              </w:rPr>
              <w:t>History of annual estimates of MSY compared with catches of th</w:t>
            </w:r>
            <w:r w:rsidR="005A7382">
              <w:rPr>
                <w:rFonts w:eastAsia="Batang" w:cs="Times New Roman"/>
                <w:bCs/>
                <w:sz w:val="18"/>
                <w:szCs w:val="18"/>
                <w:lang w:val="en-US"/>
              </w:rPr>
              <w:t>ree major fisheries for the reference</w:t>
            </w:r>
            <w:r w:rsidRPr="00737053">
              <w:rPr>
                <w:rFonts w:eastAsia="Batang" w:cs="Times New Roman"/>
                <w:bCs/>
                <w:sz w:val="18"/>
                <w:szCs w:val="18"/>
                <w:lang w:val="en-US"/>
              </w:rPr>
              <w:t xml:space="preserve"> case model.</w:t>
            </w:r>
          </w:p>
        </w:tc>
      </w:tr>
    </w:tbl>
    <w:p w:rsidR="00EF37EA" w:rsidRDefault="00EF37EA" w:rsidP="00A3563E"/>
    <w:p w:rsidR="00EA50F9" w:rsidRDefault="00EA50F9" w:rsidP="00A3563E">
      <w:r>
        <w:t>Dynamics of most model quantities are relatively consistent w</w:t>
      </w:r>
      <w:r w:rsidR="00060401">
        <w:t>ith the results of the 2014 stoc</w:t>
      </w:r>
      <w:r>
        <w:t>k assessment, although there has been a period of sev</w:t>
      </w:r>
      <w:r w:rsidR="00060401">
        <w:t xml:space="preserve">eral subsequent years with high </w:t>
      </w:r>
      <w:r>
        <w:t>recruitments and increased spawning biomass.</w:t>
      </w:r>
    </w:p>
    <w:p w:rsidR="00615634" w:rsidRDefault="00615634" w:rsidP="00A3563E">
      <w:r w:rsidRPr="00EA50F9">
        <w:t>Fishing mortality of all age-classes is estimated to have increased signi</w:t>
      </w:r>
      <w:r>
        <w:t>fi</w:t>
      </w:r>
      <w:r w:rsidR="00060401">
        <w:t>cantly since the beg</w:t>
      </w:r>
      <w:r w:rsidRPr="00EA50F9">
        <w:t>inning of industrial tuna fishing, but fishing mortality still remains below the level that would result in the MSY</w:t>
      </w:r>
      <w:r w:rsidR="007618EF">
        <w:t xml:space="preserve"> (</w:t>
      </w:r>
      <w:r w:rsidR="007618EF" w:rsidRPr="00A3563E">
        <w:rPr>
          <w:rFonts w:eastAsia="MS Mincho" w:cs="Times New Roman"/>
          <w:i/>
          <w:lang w:val="en-US"/>
        </w:rPr>
        <w:t>F</w:t>
      </w:r>
      <w:r w:rsidR="007618EF" w:rsidRPr="00A3563E">
        <w:rPr>
          <w:rFonts w:eastAsia="MS Mincho" w:cs="Times New Roman"/>
          <w:i/>
          <w:vertAlign w:val="subscript"/>
          <w:lang w:val="en-US"/>
        </w:rPr>
        <w:t>recent</w:t>
      </w:r>
      <w:r w:rsidR="007618EF" w:rsidRPr="00A3563E">
        <w:rPr>
          <w:rFonts w:eastAsia="MS Mincho" w:cs="Times New Roman"/>
          <w:i/>
          <w:lang w:val="en-US"/>
        </w:rPr>
        <w:t>/F</w:t>
      </w:r>
      <w:r w:rsidR="007618EF" w:rsidRPr="00A3563E">
        <w:rPr>
          <w:rFonts w:eastAsia="MS Mincho" w:cs="Times New Roman"/>
          <w:i/>
          <w:vertAlign w:val="subscript"/>
          <w:lang w:val="en-US"/>
        </w:rPr>
        <w:t>MSY</w:t>
      </w:r>
      <w:r w:rsidR="007618EF" w:rsidRPr="00A3563E">
        <w:rPr>
          <w:rFonts w:eastAsia="MS Mincho" w:cs="Times New Roman"/>
          <w:lang w:val="en-US"/>
        </w:rPr>
        <w:t xml:space="preserve"> = </w:t>
      </w:r>
      <w:r w:rsidR="007618EF">
        <w:t xml:space="preserve"> </w:t>
      </w:r>
      <w:r w:rsidR="00E850F7">
        <w:t xml:space="preserve">0.45 </w:t>
      </w:r>
      <w:r w:rsidR="005C648E">
        <w:t>for the reference</w:t>
      </w:r>
      <w:r w:rsidR="007618EF">
        <w:t xml:space="preserve"> case)</w:t>
      </w:r>
      <w:r w:rsidRPr="00EA50F9">
        <w:t>, and is estimated to have decreased moderately in the last several years.</w:t>
      </w:r>
      <w:r w:rsidR="005C648E">
        <w:rPr>
          <w:rFonts w:eastAsia="MS Mincho" w:cs="Times New Roman"/>
          <w:lang w:val="en-US"/>
        </w:rPr>
        <w:t xml:space="preserve"> Across the reference</w:t>
      </w:r>
      <w:r w:rsidR="007618EF" w:rsidRPr="00A3563E">
        <w:rPr>
          <w:rFonts w:eastAsia="MS Mincho" w:cs="Times New Roman"/>
          <w:lang w:val="en-US"/>
        </w:rPr>
        <w:t xml:space="preserve"> case and </w:t>
      </w:r>
      <w:r w:rsidR="00E850F7" w:rsidRPr="00A3563E">
        <w:rPr>
          <w:rFonts w:eastAsia="MS Mincho" w:cs="Times New Roman"/>
          <w:lang w:val="en-US"/>
        </w:rPr>
        <w:t xml:space="preserve">the structural uncertainty grid </w:t>
      </w:r>
      <w:r w:rsidR="007618EF" w:rsidRPr="00A3563E">
        <w:rPr>
          <w:rFonts w:eastAsia="MS Mincho" w:cs="Times New Roman"/>
          <w:i/>
          <w:lang w:val="en-US"/>
        </w:rPr>
        <w:t>F</w:t>
      </w:r>
      <w:r w:rsidR="007618EF" w:rsidRPr="00A3563E">
        <w:rPr>
          <w:rFonts w:eastAsia="MS Mincho" w:cs="Times New Roman"/>
          <w:i/>
          <w:vertAlign w:val="subscript"/>
          <w:lang w:val="en-US"/>
        </w:rPr>
        <w:t>recent</w:t>
      </w:r>
      <w:r w:rsidR="007618EF" w:rsidRPr="00A3563E">
        <w:rPr>
          <w:rFonts w:eastAsia="MS Mincho" w:cs="Times New Roman"/>
          <w:i/>
          <w:lang w:val="en-US"/>
        </w:rPr>
        <w:t>/F</w:t>
      </w:r>
      <w:r w:rsidR="007618EF" w:rsidRPr="00A3563E">
        <w:rPr>
          <w:rFonts w:eastAsia="MS Mincho" w:cs="Times New Roman"/>
          <w:i/>
          <w:vertAlign w:val="subscript"/>
          <w:lang w:val="en-US"/>
        </w:rPr>
        <w:t>MSY</w:t>
      </w:r>
      <w:r w:rsidR="00E850F7" w:rsidRPr="00A3563E">
        <w:rPr>
          <w:rFonts w:eastAsia="MS Mincho" w:cs="Times New Roman"/>
          <w:lang w:val="en-US"/>
        </w:rPr>
        <w:t xml:space="preserve"> varied between</w:t>
      </w:r>
      <w:r w:rsidR="00287504" w:rsidRPr="00A3563E">
        <w:rPr>
          <w:rFonts w:eastAsia="MS Mincho" w:cs="Times New Roman"/>
          <w:lang w:val="en-US"/>
        </w:rPr>
        <w:t xml:space="preserve"> </w:t>
      </w:r>
      <w:r w:rsidR="00E850F7" w:rsidRPr="00A3563E">
        <w:rPr>
          <w:rFonts w:eastAsia="MS Mincho" w:cs="Times New Roman"/>
          <w:lang w:val="en-US"/>
        </w:rPr>
        <w:t>0.38 (5% quantile) to 0.64 (95% quantile)</w:t>
      </w:r>
      <w:r w:rsidR="00060401" w:rsidRPr="00A3563E">
        <w:rPr>
          <w:rFonts w:eastAsia="MS Mincho" w:cs="Times New Roman"/>
          <w:lang w:val="en-US"/>
        </w:rPr>
        <w:t xml:space="preserve">. This indicates that </w:t>
      </w:r>
      <w:r w:rsidR="007618EF" w:rsidRPr="00A3563E">
        <w:rPr>
          <w:rFonts w:eastAsia="MS Mincho" w:cs="Times New Roman"/>
          <w:lang w:val="en-US"/>
        </w:rPr>
        <w:t>overfishing is not occurring for the WCPO skipjack tuna stock</w:t>
      </w:r>
      <w:r w:rsidR="005C648E">
        <w:rPr>
          <w:rFonts w:eastAsia="MS Mincho" w:cs="Times New Roman"/>
          <w:lang w:val="en-US"/>
        </w:rPr>
        <w:t xml:space="preserve"> (Figure SKJ 5)</w:t>
      </w:r>
      <w:r w:rsidR="007618EF" w:rsidRPr="00A3563E">
        <w:rPr>
          <w:rFonts w:eastAsia="MS Mincho" w:cs="Times New Roman"/>
          <w:lang w:val="en-US"/>
        </w:rPr>
        <w:t>.</w:t>
      </w:r>
    </w:p>
    <w:p w:rsidR="00615634" w:rsidRDefault="00615634" w:rsidP="00A3563E">
      <w:r>
        <w:t xml:space="preserve">The estimated MSY of 1,891,600 mt is moderately higher than </w:t>
      </w:r>
      <w:r w:rsidR="00060401">
        <w:t>the 2014 estimate due to the ado</w:t>
      </w:r>
      <w:r>
        <w:t>ption of an annual, rather than quarterly, stock-recruitment relationship. Recent catches are lower than, but approaching, this MSY value</w:t>
      </w:r>
      <w:r w:rsidR="005C648E">
        <w:t xml:space="preserve"> (Figure SKJ 6)</w:t>
      </w:r>
      <w:r>
        <w:t>.</w:t>
      </w:r>
    </w:p>
    <w:p w:rsidR="00474719" w:rsidRDefault="00474719" w:rsidP="00A3563E">
      <w:r>
        <w:t>The latest (2015) e</w:t>
      </w:r>
      <w:r w:rsidR="00613DBA">
        <w:t>stimate</w:t>
      </w:r>
      <w:r w:rsidR="001F07B5">
        <w:t xml:space="preserve"> of spawning biomass is</w:t>
      </w:r>
      <w:r>
        <w:t xml:space="preserve"> well above both the </w:t>
      </w:r>
      <w:r w:rsidRPr="00474719">
        <w:t>level that will support MSY (</w:t>
      </w:r>
      <w:r w:rsidRPr="001F07B5">
        <w:t>SB</w:t>
      </w:r>
      <w:r w:rsidRPr="00A3563E">
        <w:rPr>
          <w:vertAlign w:val="subscript"/>
        </w:rPr>
        <w:t>latest</w:t>
      </w:r>
      <w:r w:rsidRPr="00474719">
        <w:t>/SB</w:t>
      </w:r>
      <w:r w:rsidRPr="00A3563E">
        <w:rPr>
          <w:vertAlign w:val="subscript"/>
        </w:rPr>
        <w:t>MSY</w:t>
      </w:r>
      <w:r w:rsidRPr="00474719">
        <w:t xml:space="preserve"> =</w:t>
      </w:r>
      <w:r w:rsidR="001F07B5">
        <w:t xml:space="preserve"> </w:t>
      </w:r>
      <w:r w:rsidR="002D5A2B">
        <w:t xml:space="preserve">2.56, </w:t>
      </w:r>
      <w:r w:rsidR="001F07B5">
        <w:t xml:space="preserve">for the reference case model) and the </w:t>
      </w:r>
      <w:r w:rsidRPr="00474719">
        <w:t>adopted LRP of 0.2</w:t>
      </w:r>
      <w:r w:rsidR="00F303E5">
        <w:t xml:space="preserve"> </w:t>
      </w:r>
      <w:r w:rsidRPr="00474719">
        <w:t>SB</w:t>
      </w:r>
      <w:r w:rsidRPr="00A3563E">
        <w:rPr>
          <w:vertAlign w:val="subscript"/>
        </w:rPr>
        <w:t xml:space="preserve">F=0 </w:t>
      </w:r>
      <w:r w:rsidRPr="00474719">
        <w:t>(SB</w:t>
      </w:r>
      <w:r w:rsidRPr="00A3563E">
        <w:rPr>
          <w:vertAlign w:val="subscript"/>
        </w:rPr>
        <w:t>latest</w:t>
      </w:r>
      <w:r w:rsidRPr="00474719">
        <w:t>/SB</w:t>
      </w:r>
      <w:r w:rsidRPr="00A3563E">
        <w:rPr>
          <w:vertAlign w:val="subscript"/>
        </w:rPr>
        <w:t xml:space="preserve">F=0 </w:t>
      </w:r>
      <w:r w:rsidR="001F07B5">
        <w:t xml:space="preserve">= </w:t>
      </w:r>
      <w:r w:rsidR="002D5A2B">
        <w:t>0.58,</w:t>
      </w:r>
      <w:r w:rsidR="001F07B5">
        <w:t xml:space="preserve"> for the referenc</w:t>
      </w:r>
      <w:r w:rsidRPr="00474719">
        <w:t>e case m</w:t>
      </w:r>
      <w:r w:rsidR="001F07B5">
        <w:t>odel)</w:t>
      </w:r>
      <w:r w:rsidR="007E0EDE">
        <w:t xml:space="preserve">, and </w:t>
      </w:r>
      <w:r w:rsidR="007E0EDE" w:rsidRPr="00474719">
        <w:t>SB</w:t>
      </w:r>
      <w:r w:rsidR="007E0EDE" w:rsidRPr="00A3563E">
        <w:rPr>
          <w:vertAlign w:val="subscript"/>
        </w:rPr>
        <w:t>latest</w:t>
      </w:r>
      <w:r w:rsidR="007E0EDE" w:rsidRPr="00474719">
        <w:t>/SB</w:t>
      </w:r>
      <w:r w:rsidR="007E0EDE" w:rsidRPr="00A3563E">
        <w:rPr>
          <w:vertAlign w:val="subscript"/>
        </w:rPr>
        <w:t xml:space="preserve">F=0 </w:t>
      </w:r>
      <w:r w:rsidR="00613DBA">
        <w:t>was relatively close to the adopted interim target reference point</w:t>
      </w:r>
      <w:r w:rsidR="00F303E5">
        <w:t xml:space="preserve"> (0.5 </w:t>
      </w:r>
      <w:r w:rsidR="00F303E5" w:rsidRPr="00474719">
        <w:t>SB</w:t>
      </w:r>
      <w:r w:rsidR="00F303E5" w:rsidRPr="00A3563E">
        <w:rPr>
          <w:vertAlign w:val="subscript"/>
        </w:rPr>
        <w:t>F=0</w:t>
      </w:r>
      <w:r w:rsidR="00F303E5">
        <w:t>)</w:t>
      </w:r>
      <w:r w:rsidR="00613DBA">
        <w:t xml:space="preserve"> for all models explored in the assessment (</w:t>
      </w:r>
      <w:r w:rsidR="00F303E5">
        <w:t xml:space="preserve">structural </w:t>
      </w:r>
      <w:r w:rsidR="00613DBA">
        <w:t xml:space="preserve">uncertainty </w:t>
      </w:r>
      <w:r w:rsidR="00F303E5">
        <w:t xml:space="preserve">grid: median = </w:t>
      </w:r>
      <w:r w:rsidR="002D5A2B">
        <w:t>0.51, 95% quantiles</w:t>
      </w:r>
      <w:r w:rsidR="00F303E5">
        <w:t xml:space="preserve"> =  </w:t>
      </w:r>
      <w:r w:rsidR="002D5A2B">
        <w:t xml:space="preserve">0.39 </w:t>
      </w:r>
      <w:r w:rsidR="00F303E5">
        <w:t xml:space="preserve">and </w:t>
      </w:r>
      <w:r w:rsidR="002D5A2B">
        <w:t>0.67</w:t>
      </w:r>
      <w:r w:rsidR="00F303E5">
        <w:t>).</w:t>
      </w:r>
    </w:p>
    <w:p w:rsidR="00A348E8" w:rsidRDefault="002C796D" w:rsidP="00A3563E">
      <w:r w:rsidRPr="002C796D">
        <w:t>SC12 further advises the WCPFC that there is continuous concern that high catches in the equatorial region could result in range contractions of the stocks, thus reducing skipjack tuna availability to high latitude fisheries. SC12 recommends that further research on range contraction of skipjack tuna be conducted</w:t>
      </w:r>
      <w:r>
        <w:t xml:space="preserve"> in the framework of Project 67</w:t>
      </w:r>
      <w:r w:rsidR="00250B91" w:rsidRPr="00250B91">
        <w:t>.</w:t>
      </w:r>
    </w:p>
    <w:p w:rsidR="005F2FE1" w:rsidRDefault="005F2FE1" w:rsidP="00A3563E"/>
    <w:p w:rsidR="005F2FE1" w:rsidRDefault="005F2FE1" w:rsidP="00A3563E"/>
    <w:p w:rsidR="005F2FE1" w:rsidRDefault="005F2FE1" w:rsidP="00060401">
      <w:pPr>
        <w:rPr>
          <w:b/>
        </w:rPr>
      </w:pPr>
      <w:r w:rsidRPr="00250B91">
        <w:rPr>
          <w:b/>
          <w:lang w:eastAsia="ja-JP"/>
        </w:rPr>
        <w:t>Stock status and trends</w:t>
      </w:r>
      <w:r w:rsidRPr="00E850F7">
        <w:rPr>
          <w:b/>
        </w:rPr>
        <w:t xml:space="preserve"> </w:t>
      </w:r>
    </w:p>
    <w:p w:rsidR="00BF094D" w:rsidRPr="00060401" w:rsidRDefault="005F2FE1" w:rsidP="00060401">
      <w:pPr>
        <w:rPr>
          <w:b/>
        </w:rPr>
      </w:pPr>
      <w:r>
        <w:rPr>
          <w:b/>
        </w:rPr>
        <w:t>O</w:t>
      </w:r>
      <w:r w:rsidR="00BF094D" w:rsidRPr="00E850F7">
        <w:rPr>
          <w:b/>
        </w:rPr>
        <w:t xml:space="preserve">ption 2 – stock status based on the </w:t>
      </w:r>
      <w:r w:rsidR="0035466C">
        <w:rPr>
          <w:b/>
        </w:rPr>
        <w:t xml:space="preserve">median of the </w:t>
      </w:r>
      <w:r w:rsidR="00BF094D" w:rsidRPr="00E850F7">
        <w:rPr>
          <w:b/>
        </w:rPr>
        <w:t>structural uncertainty grid</w:t>
      </w:r>
    </w:p>
    <w:p w:rsidR="0062079C" w:rsidRPr="00C06D64" w:rsidRDefault="00E850F7" w:rsidP="00A3563E">
      <w:pPr>
        <w:rPr>
          <w:rFonts w:eastAsia="Batang" w:cs="Times New Roman"/>
          <w:b/>
          <w:bCs/>
          <w:lang w:val="en-US"/>
        </w:rPr>
      </w:pPr>
      <w:r w:rsidRPr="00A3563E">
        <w:rPr>
          <w:rFonts w:eastAsia="MS Mincho" w:cs="Times New Roman"/>
          <w:lang w:val="en-US"/>
        </w:rPr>
        <w:t xml:space="preserve">SC12 selected the median of the structural uncertainty grid to represent the stock status of skipjack tuna. To characterize uncertainty, SC12 chose all models in the structural uncertainty grid. Summaries of important model quantities for these models are shown in </w:t>
      </w:r>
      <w:r w:rsidRPr="00C06D64">
        <w:rPr>
          <w:rFonts w:eastAsia="MS Mincho" w:cs="Times New Roman"/>
          <w:lang w:val="en-US"/>
        </w:rPr>
        <w:t>Table SKJ1</w:t>
      </w:r>
      <w:r w:rsidR="00C06D64">
        <w:rPr>
          <w:rFonts w:eastAsia="MS Mincho" w:cs="Times New Roman"/>
          <w:lang w:val="en-US"/>
        </w:rPr>
        <w:t xml:space="preserve"> and 2</w:t>
      </w:r>
      <w:r w:rsidRPr="00C06D64">
        <w:rPr>
          <w:rFonts w:eastAsia="MS Mincho" w:cs="Times New Roman"/>
          <w:lang w:val="en-US"/>
        </w:rPr>
        <w:t>.</w:t>
      </w:r>
      <w:r w:rsidR="0062079C" w:rsidRPr="00C06D64">
        <w:rPr>
          <w:rFonts w:eastAsia="Batang" w:cs="Times New Roman"/>
          <w:b/>
          <w:bCs/>
          <w:lang w:val="en-US"/>
        </w:rPr>
        <w:t xml:space="preserve"> </w:t>
      </w:r>
    </w:p>
    <w:p w:rsidR="00C06D64" w:rsidRDefault="0062079C" w:rsidP="00A3563E">
      <w:pPr>
        <w:rPr>
          <w:rFonts w:eastAsia="Batang" w:cs="Times New Roman"/>
          <w:bCs/>
          <w:lang w:val="en-US"/>
        </w:rPr>
      </w:pPr>
      <w:r w:rsidRPr="00C06D64">
        <w:rPr>
          <w:rFonts w:eastAsia="Batang" w:cs="Times New Roman"/>
          <w:b/>
          <w:bCs/>
          <w:lang w:val="en-US"/>
        </w:rPr>
        <w:t xml:space="preserve">Table SKJ1: </w:t>
      </w:r>
      <w:r w:rsidRPr="00C06D64">
        <w:rPr>
          <w:rFonts w:eastAsia="Batang" w:cs="Times New Roman"/>
          <w:bCs/>
          <w:lang w:val="en-US"/>
        </w:rPr>
        <w:t>Estimates of management quantities for the selected stock assessment models. For the purpose of this assessment, “recent” is the average over the period 2011–2014 and “latest” is 2015.</w:t>
      </w:r>
      <w:r w:rsidR="00C06D64" w:rsidRPr="00C06D64">
        <w:t xml:space="preserve"> </w:t>
      </w:r>
      <w:r w:rsidR="00C06D64" w:rsidRPr="00C06D64">
        <w:rPr>
          <w:highlight w:val="yellow"/>
        </w:rPr>
        <w:t>(INSERT TABLE 6 FROM THE ASSESSMENT)</w:t>
      </w:r>
    </w:p>
    <w:p w:rsidR="00C06D64" w:rsidRDefault="00C06D64" w:rsidP="00A3563E">
      <w:pPr>
        <w:rPr>
          <w:rFonts w:eastAsia="MS Mincho" w:cs="Times New Roman"/>
          <w:lang w:val="en-US"/>
        </w:rPr>
      </w:pPr>
      <w:r>
        <w:rPr>
          <w:noProof/>
          <w:lang w:val="en-US"/>
        </w:rPr>
        <w:drawing>
          <wp:inline distT="0" distB="0" distL="0" distR="0" wp14:anchorId="3F780C12" wp14:editId="7B73E29B">
            <wp:extent cx="5731510" cy="1282700"/>
            <wp:effectExtent l="0" t="0" r="2540" b="0"/>
            <wp:docPr id="29"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282700"/>
                    </a:xfrm>
                    <a:prstGeom prst="rect">
                      <a:avLst/>
                    </a:prstGeom>
                  </pic:spPr>
                </pic:pic>
              </a:graphicData>
            </a:graphic>
          </wp:inline>
        </w:drawing>
      </w:r>
    </w:p>
    <w:p w:rsidR="00C06D64" w:rsidRPr="005F2FE1" w:rsidRDefault="00C06D64" w:rsidP="00A3563E">
      <w:pPr>
        <w:rPr>
          <w:rFonts w:eastAsia="MS Mincho" w:cs="Times New Roman"/>
          <w:sz w:val="16"/>
          <w:szCs w:val="16"/>
          <w:lang w:val="en-US"/>
        </w:rPr>
      </w:pPr>
      <w:r w:rsidRPr="005F2FE1">
        <w:rPr>
          <w:rFonts w:eastAsia="Batang" w:cs="Times New Roman"/>
          <w:b/>
          <w:bCs/>
          <w:sz w:val="16"/>
          <w:szCs w:val="16"/>
          <w:lang w:val="en-US"/>
        </w:rPr>
        <w:t xml:space="preserve">Table SKJ2: </w:t>
      </w:r>
      <w:r w:rsidRPr="005F2FE1">
        <w:rPr>
          <w:rFonts w:eastAsia="Batang" w:cs="Times New Roman"/>
          <w:bCs/>
          <w:sz w:val="16"/>
          <w:szCs w:val="16"/>
          <w:lang w:val="en-US"/>
        </w:rPr>
        <w:t>Estimates of management quantities for the median of the structural uncertainty grid.</w:t>
      </w:r>
    </w:p>
    <w:tbl>
      <w:tblPr>
        <w:tblStyle w:val="TableGrid"/>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6"/>
        <w:gridCol w:w="1242"/>
        <w:gridCol w:w="1222"/>
        <w:gridCol w:w="1222"/>
        <w:gridCol w:w="1233"/>
      </w:tblGrid>
      <w:tr w:rsidR="0062079C" w:rsidRPr="005F2FE1" w:rsidTr="00D31337">
        <w:tc>
          <w:tcPr>
            <w:tcW w:w="1426" w:type="dxa"/>
            <w:tcBorders>
              <w:top w:val="single" w:sz="4" w:space="0" w:color="auto"/>
              <w:bottom w:val="single" w:sz="4" w:space="0" w:color="auto"/>
            </w:tcBorders>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Quantity</w:t>
            </w:r>
          </w:p>
        </w:tc>
        <w:tc>
          <w:tcPr>
            <w:tcW w:w="1242" w:type="dxa"/>
            <w:tcBorders>
              <w:top w:val="single" w:sz="4" w:space="0" w:color="auto"/>
              <w:bottom w:val="single" w:sz="4" w:space="0" w:color="auto"/>
            </w:tcBorders>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Reference case</w:t>
            </w:r>
          </w:p>
        </w:tc>
        <w:tc>
          <w:tcPr>
            <w:tcW w:w="1222" w:type="dxa"/>
            <w:tcBorders>
              <w:top w:val="single" w:sz="4" w:space="0" w:color="auto"/>
              <w:bottom w:val="single" w:sz="4" w:space="0" w:color="auto"/>
            </w:tcBorders>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Grid Median</w:t>
            </w:r>
          </w:p>
        </w:tc>
        <w:tc>
          <w:tcPr>
            <w:tcW w:w="1222" w:type="dxa"/>
            <w:tcBorders>
              <w:top w:val="single" w:sz="4" w:space="0" w:color="auto"/>
              <w:bottom w:val="single" w:sz="4" w:space="0" w:color="auto"/>
            </w:tcBorders>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Grid 5%</w:t>
            </w:r>
          </w:p>
        </w:tc>
        <w:tc>
          <w:tcPr>
            <w:tcW w:w="1233" w:type="dxa"/>
            <w:tcBorders>
              <w:top w:val="single" w:sz="4" w:space="0" w:color="auto"/>
              <w:bottom w:val="single" w:sz="4" w:space="0" w:color="auto"/>
            </w:tcBorders>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Grid 95%</w:t>
            </w:r>
          </w:p>
        </w:tc>
      </w:tr>
      <w:tr w:rsidR="0062079C" w:rsidRPr="005F2FE1" w:rsidTr="00D31337">
        <w:tc>
          <w:tcPr>
            <w:tcW w:w="1426" w:type="dxa"/>
            <w:tcBorders>
              <w:top w:val="single" w:sz="4" w:space="0" w:color="auto"/>
            </w:tcBorders>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Times New Roman" w:cs="Times New Roman"/>
                <w:i/>
                <w:iCs/>
                <w:color w:val="000000"/>
                <w:sz w:val="16"/>
                <w:szCs w:val="16"/>
                <w:lang w:val="en-US" w:eastAsia="en-AU"/>
              </w:rPr>
              <w:t>C</w:t>
            </w:r>
            <w:r w:rsidRPr="005F2FE1">
              <w:rPr>
                <w:rFonts w:eastAsia="Times New Roman" w:cs="Times New Roman"/>
                <w:i/>
                <w:iCs/>
                <w:color w:val="000000"/>
                <w:sz w:val="16"/>
                <w:szCs w:val="16"/>
                <w:vertAlign w:val="subscript"/>
                <w:lang w:val="en-US" w:eastAsia="en-AU"/>
              </w:rPr>
              <w:t>latest</w:t>
            </w:r>
          </w:p>
        </w:tc>
        <w:tc>
          <w:tcPr>
            <w:tcW w:w="1242" w:type="dxa"/>
            <w:tcBorders>
              <w:top w:val="single" w:sz="4" w:space="0" w:color="auto"/>
            </w:tcBorders>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1,679,528</w:t>
            </w:r>
          </w:p>
        </w:tc>
        <w:tc>
          <w:tcPr>
            <w:tcW w:w="1222" w:type="dxa"/>
            <w:tcBorders>
              <w:top w:val="single" w:sz="4" w:space="0" w:color="auto"/>
            </w:tcBorders>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1,679,444</w:t>
            </w:r>
          </w:p>
        </w:tc>
        <w:tc>
          <w:tcPr>
            <w:tcW w:w="1222" w:type="dxa"/>
            <w:tcBorders>
              <w:top w:val="single" w:sz="4" w:space="0" w:color="auto"/>
            </w:tcBorders>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1,678,646</w:t>
            </w:r>
          </w:p>
        </w:tc>
        <w:tc>
          <w:tcPr>
            <w:tcW w:w="1233" w:type="dxa"/>
            <w:tcBorders>
              <w:top w:val="single" w:sz="4" w:space="0" w:color="auto"/>
            </w:tcBorders>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1,679,592</w:t>
            </w:r>
          </w:p>
        </w:tc>
      </w:tr>
      <w:tr w:rsidR="0062079C" w:rsidRPr="005F2FE1" w:rsidTr="00D31337">
        <w:tc>
          <w:tcPr>
            <w:tcW w:w="1426"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MSY</w:t>
            </w:r>
          </w:p>
        </w:tc>
        <w:tc>
          <w:tcPr>
            <w:tcW w:w="1242"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1,891,600</w:t>
            </w:r>
          </w:p>
        </w:tc>
        <w:tc>
          <w:tcPr>
            <w:tcW w:w="1222"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1,875,600</w:t>
            </w:r>
          </w:p>
        </w:tc>
        <w:tc>
          <w:tcPr>
            <w:tcW w:w="1222"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1,618,060</w:t>
            </w:r>
          </w:p>
        </w:tc>
        <w:tc>
          <w:tcPr>
            <w:tcW w:w="1233"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2,199,880</w:t>
            </w:r>
          </w:p>
        </w:tc>
      </w:tr>
      <w:tr w:rsidR="0062079C" w:rsidRPr="005F2FE1" w:rsidTr="00D31337">
        <w:tc>
          <w:tcPr>
            <w:tcW w:w="1426"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Times New Roman" w:cs="Times New Roman"/>
                <w:i/>
                <w:iCs/>
                <w:color w:val="000000"/>
                <w:sz w:val="16"/>
                <w:szCs w:val="16"/>
                <w:lang w:val="en-US" w:eastAsia="en-AU"/>
              </w:rPr>
              <w:t>Y</w:t>
            </w:r>
            <w:r w:rsidRPr="005F2FE1">
              <w:rPr>
                <w:rFonts w:eastAsia="Times New Roman" w:cs="Times New Roman"/>
                <w:i/>
                <w:iCs/>
                <w:color w:val="000000"/>
                <w:sz w:val="16"/>
                <w:szCs w:val="16"/>
                <w:vertAlign w:val="subscript"/>
                <w:lang w:val="en-US" w:eastAsia="en-AU"/>
              </w:rPr>
              <w:t>F,recent</w:t>
            </w:r>
          </w:p>
        </w:tc>
        <w:tc>
          <w:tcPr>
            <w:tcW w:w="1242"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1,594,800</w:t>
            </w:r>
          </w:p>
        </w:tc>
        <w:tc>
          <w:tcPr>
            <w:tcW w:w="1222"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1,607,000</w:t>
            </w:r>
          </w:p>
        </w:tc>
        <w:tc>
          <w:tcPr>
            <w:tcW w:w="1222"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1,486,660</w:t>
            </w:r>
          </w:p>
        </w:tc>
        <w:tc>
          <w:tcPr>
            <w:tcW w:w="1233"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1,808,860</w:t>
            </w:r>
          </w:p>
        </w:tc>
      </w:tr>
      <w:tr w:rsidR="0062079C" w:rsidRPr="005F2FE1" w:rsidTr="00D31337">
        <w:tc>
          <w:tcPr>
            <w:tcW w:w="1426" w:type="dxa"/>
          </w:tcPr>
          <w:p w:rsidR="0062079C" w:rsidRPr="005F2FE1" w:rsidRDefault="0062079C" w:rsidP="00D31337">
            <w:pPr>
              <w:keepNext/>
              <w:adjustRightInd w:val="0"/>
              <w:snapToGrid w:val="0"/>
              <w:ind w:right="115"/>
              <w:jc w:val="both"/>
              <w:rPr>
                <w:rFonts w:eastAsia="Batang" w:cs="Times New Roman"/>
                <w:bCs/>
                <w:i/>
                <w:sz w:val="16"/>
                <w:szCs w:val="16"/>
                <w:lang w:val="en-US"/>
              </w:rPr>
            </w:pPr>
            <w:r w:rsidRPr="005F2FE1">
              <w:rPr>
                <w:rFonts w:eastAsia="Batang" w:cs="Times New Roman"/>
                <w:bCs/>
                <w:i/>
                <w:sz w:val="16"/>
                <w:szCs w:val="16"/>
                <w:lang w:val="en-US"/>
              </w:rPr>
              <w:t>fmult</w:t>
            </w:r>
          </w:p>
        </w:tc>
        <w:tc>
          <w:tcPr>
            <w:tcW w:w="1242"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2.23</w:t>
            </w:r>
          </w:p>
        </w:tc>
        <w:tc>
          <w:tcPr>
            <w:tcW w:w="1222"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2.07</w:t>
            </w:r>
          </w:p>
        </w:tc>
        <w:tc>
          <w:tcPr>
            <w:tcW w:w="1222"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1.57</w:t>
            </w:r>
          </w:p>
        </w:tc>
        <w:tc>
          <w:tcPr>
            <w:tcW w:w="1233"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2.62</w:t>
            </w:r>
          </w:p>
        </w:tc>
      </w:tr>
      <w:tr w:rsidR="0062079C" w:rsidRPr="005F2FE1" w:rsidTr="00D31337">
        <w:tc>
          <w:tcPr>
            <w:tcW w:w="1426"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Times New Roman" w:cs="Times New Roman"/>
                <w:i/>
                <w:iCs/>
                <w:color w:val="000000"/>
                <w:sz w:val="16"/>
                <w:szCs w:val="16"/>
                <w:lang w:val="en-US" w:eastAsia="en-AU"/>
              </w:rPr>
              <w:t>F</w:t>
            </w:r>
            <w:r w:rsidRPr="005F2FE1">
              <w:rPr>
                <w:rFonts w:eastAsia="Malgun Gothic" w:cs="Times New Roman"/>
                <w:i/>
                <w:iCs/>
                <w:color w:val="000000"/>
                <w:sz w:val="16"/>
                <w:szCs w:val="16"/>
                <w:vertAlign w:val="subscript"/>
                <w:lang w:val="en-US" w:eastAsia="ko-KR"/>
              </w:rPr>
              <w:t>MSY</w:t>
            </w:r>
          </w:p>
        </w:tc>
        <w:tc>
          <w:tcPr>
            <w:tcW w:w="1242"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0.24</w:t>
            </w:r>
          </w:p>
        </w:tc>
        <w:tc>
          <w:tcPr>
            <w:tcW w:w="1222"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0.24</w:t>
            </w:r>
          </w:p>
        </w:tc>
        <w:tc>
          <w:tcPr>
            <w:tcW w:w="1222"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0.21</w:t>
            </w:r>
          </w:p>
        </w:tc>
        <w:tc>
          <w:tcPr>
            <w:tcW w:w="1233"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0.28</w:t>
            </w:r>
          </w:p>
        </w:tc>
      </w:tr>
      <w:tr w:rsidR="0062079C" w:rsidRPr="005F2FE1" w:rsidTr="00D31337">
        <w:tc>
          <w:tcPr>
            <w:tcW w:w="1426"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Times New Roman" w:cs="Times New Roman"/>
                <w:i/>
                <w:iCs/>
                <w:color w:val="000000"/>
                <w:sz w:val="16"/>
                <w:szCs w:val="16"/>
                <w:lang w:val="en-US" w:eastAsia="en-AU"/>
              </w:rPr>
              <w:t>F</w:t>
            </w:r>
            <w:r w:rsidRPr="005F2FE1">
              <w:rPr>
                <w:rFonts w:eastAsia="Times New Roman" w:cs="Times New Roman"/>
                <w:i/>
                <w:iCs/>
                <w:color w:val="000000"/>
                <w:sz w:val="16"/>
                <w:szCs w:val="16"/>
                <w:vertAlign w:val="subscript"/>
                <w:lang w:val="en-US" w:eastAsia="en-AU"/>
              </w:rPr>
              <w:t>recent/</w:t>
            </w:r>
            <w:r w:rsidRPr="005F2FE1">
              <w:rPr>
                <w:rFonts w:eastAsia="Times New Roman" w:cs="Times New Roman"/>
                <w:i/>
                <w:iCs/>
                <w:color w:val="000000"/>
                <w:sz w:val="16"/>
                <w:szCs w:val="16"/>
                <w:lang w:val="en-US" w:eastAsia="en-AU"/>
              </w:rPr>
              <w:t>F</w:t>
            </w:r>
            <w:r w:rsidRPr="005F2FE1">
              <w:rPr>
                <w:rFonts w:eastAsia="Malgun Gothic" w:cs="Times New Roman"/>
                <w:i/>
                <w:iCs/>
                <w:color w:val="000000"/>
                <w:sz w:val="16"/>
                <w:szCs w:val="16"/>
                <w:vertAlign w:val="subscript"/>
                <w:lang w:val="en-US" w:eastAsia="ko-KR"/>
              </w:rPr>
              <w:t>MSY</w:t>
            </w:r>
          </w:p>
        </w:tc>
        <w:tc>
          <w:tcPr>
            <w:tcW w:w="1242"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0.45</w:t>
            </w:r>
          </w:p>
        </w:tc>
        <w:tc>
          <w:tcPr>
            <w:tcW w:w="1222"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0.48</w:t>
            </w:r>
          </w:p>
        </w:tc>
        <w:tc>
          <w:tcPr>
            <w:tcW w:w="1222"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0.38</w:t>
            </w:r>
          </w:p>
        </w:tc>
        <w:tc>
          <w:tcPr>
            <w:tcW w:w="1233"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0.64</w:t>
            </w:r>
          </w:p>
        </w:tc>
      </w:tr>
      <w:tr w:rsidR="0062079C" w:rsidRPr="005F2FE1" w:rsidTr="00D31337">
        <w:tc>
          <w:tcPr>
            <w:tcW w:w="1426"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Times New Roman" w:cs="Times New Roman"/>
                <w:i/>
                <w:iCs/>
                <w:color w:val="000000"/>
                <w:sz w:val="16"/>
                <w:szCs w:val="16"/>
                <w:lang w:val="en-US" w:eastAsia="en-AU"/>
              </w:rPr>
              <w:t>SB</w:t>
            </w:r>
            <w:r w:rsidRPr="005F2FE1">
              <w:rPr>
                <w:rFonts w:eastAsia="Times New Roman" w:cs="Times New Roman"/>
                <w:i/>
                <w:iCs/>
                <w:color w:val="000000"/>
                <w:sz w:val="16"/>
                <w:szCs w:val="16"/>
                <w:vertAlign w:val="subscript"/>
                <w:lang w:val="en-US" w:eastAsia="en-AU"/>
              </w:rPr>
              <w:t>MSY</w:t>
            </w:r>
          </w:p>
        </w:tc>
        <w:tc>
          <w:tcPr>
            <w:tcW w:w="1242"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1,626,000</w:t>
            </w:r>
          </w:p>
        </w:tc>
        <w:tc>
          <w:tcPr>
            <w:tcW w:w="1222"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1,628,000</w:t>
            </w:r>
          </w:p>
        </w:tc>
        <w:tc>
          <w:tcPr>
            <w:tcW w:w="1222"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1,258,700</w:t>
            </w:r>
          </w:p>
        </w:tc>
        <w:tc>
          <w:tcPr>
            <w:tcW w:w="1233"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2,166,100</w:t>
            </w:r>
          </w:p>
        </w:tc>
      </w:tr>
      <w:tr w:rsidR="0062079C" w:rsidRPr="005F2FE1" w:rsidTr="00D31337">
        <w:tc>
          <w:tcPr>
            <w:tcW w:w="1426"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Times New Roman" w:cs="Times New Roman"/>
                <w:i/>
                <w:iCs/>
                <w:color w:val="000000"/>
                <w:sz w:val="16"/>
                <w:szCs w:val="16"/>
                <w:lang w:val="en-US" w:eastAsia="en-AU"/>
              </w:rPr>
              <w:t>SB</w:t>
            </w:r>
            <w:r w:rsidRPr="005F2FE1">
              <w:rPr>
                <w:rFonts w:eastAsia="Times New Roman" w:cs="Times New Roman"/>
                <w:i/>
                <w:iCs/>
                <w:color w:val="000000"/>
                <w:sz w:val="16"/>
                <w:szCs w:val="16"/>
                <w:vertAlign w:val="subscript"/>
                <w:lang w:val="en-US" w:eastAsia="en-AU"/>
              </w:rPr>
              <w:t>0</w:t>
            </w:r>
          </w:p>
        </w:tc>
        <w:tc>
          <w:tcPr>
            <w:tcW w:w="1242"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6,764,000</w:t>
            </w:r>
          </w:p>
        </w:tc>
        <w:tc>
          <w:tcPr>
            <w:tcW w:w="1222"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6,359,500</w:t>
            </w:r>
          </w:p>
        </w:tc>
        <w:tc>
          <w:tcPr>
            <w:tcW w:w="1222"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5,214,050</w:t>
            </w:r>
          </w:p>
        </w:tc>
        <w:tc>
          <w:tcPr>
            <w:tcW w:w="1233"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8,340,450</w:t>
            </w:r>
          </w:p>
        </w:tc>
      </w:tr>
      <w:tr w:rsidR="0062079C" w:rsidRPr="005F2FE1" w:rsidTr="00D31337">
        <w:tc>
          <w:tcPr>
            <w:tcW w:w="1426"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Times New Roman" w:cs="Times New Roman"/>
                <w:i/>
                <w:iCs/>
                <w:color w:val="000000"/>
                <w:sz w:val="16"/>
                <w:szCs w:val="16"/>
                <w:lang w:val="en-US" w:eastAsia="en-AU"/>
              </w:rPr>
              <w:t>SB</w:t>
            </w:r>
            <w:r w:rsidRPr="005F2FE1">
              <w:rPr>
                <w:rFonts w:eastAsia="Times New Roman" w:cs="Times New Roman"/>
                <w:i/>
                <w:iCs/>
                <w:color w:val="000000"/>
                <w:sz w:val="16"/>
                <w:szCs w:val="16"/>
                <w:vertAlign w:val="subscript"/>
                <w:lang w:val="en-US" w:eastAsia="en-AU"/>
              </w:rPr>
              <w:t>F=0</w:t>
            </w:r>
          </w:p>
        </w:tc>
        <w:tc>
          <w:tcPr>
            <w:tcW w:w="1242"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7,221,135</w:t>
            </w:r>
          </w:p>
        </w:tc>
        <w:tc>
          <w:tcPr>
            <w:tcW w:w="1222"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6,876,526</w:t>
            </w:r>
          </w:p>
        </w:tc>
        <w:tc>
          <w:tcPr>
            <w:tcW w:w="1222"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5,778,079</w:t>
            </w:r>
          </w:p>
        </w:tc>
        <w:tc>
          <w:tcPr>
            <w:tcW w:w="1233"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8,555,240</w:t>
            </w:r>
          </w:p>
        </w:tc>
      </w:tr>
      <w:tr w:rsidR="0062079C" w:rsidRPr="005F2FE1" w:rsidTr="00D31337">
        <w:tc>
          <w:tcPr>
            <w:tcW w:w="1426"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Times New Roman" w:cs="Times New Roman"/>
                <w:i/>
                <w:iCs/>
                <w:color w:val="000000"/>
                <w:sz w:val="16"/>
                <w:szCs w:val="16"/>
                <w:lang w:val="en-US" w:eastAsia="en-AU"/>
              </w:rPr>
              <w:t>SB</w:t>
            </w:r>
            <w:r w:rsidRPr="005F2FE1">
              <w:rPr>
                <w:rFonts w:eastAsia="Times New Roman" w:cs="Times New Roman"/>
                <w:i/>
                <w:iCs/>
                <w:color w:val="000000"/>
                <w:sz w:val="16"/>
                <w:szCs w:val="16"/>
                <w:vertAlign w:val="subscript"/>
                <w:lang w:val="en-US" w:eastAsia="en-AU"/>
              </w:rPr>
              <w:t>latest</w:t>
            </w:r>
            <w:r w:rsidRPr="005F2FE1">
              <w:rPr>
                <w:rFonts w:eastAsia="Times New Roman" w:cs="Times New Roman"/>
                <w:i/>
                <w:iCs/>
                <w:color w:val="000000"/>
                <w:sz w:val="16"/>
                <w:szCs w:val="16"/>
                <w:lang w:val="en-US" w:eastAsia="en-AU"/>
              </w:rPr>
              <w:t>/SB</w:t>
            </w:r>
            <w:r w:rsidRPr="005F2FE1">
              <w:rPr>
                <w:rFonts w:eastAsia="Times New Roman" w:cs="Times New Roman"/>
                <w:i/>
                <w:iCs/>
                <w:color w:val="000000"/>
                <w:sz w:val="16"/>
                <w:szCs w:val="16"/>
                <w:vertAlign w:val="subscript"/>
                <w:lang w:val="en-US" w:eastAsia="en-AU"/>
              </w:rPr>
              <w:t>0</w:t>
            </w:r>
          </w:p>
        </w:tc>
        <w:tc>
          <w:tcPr>
            <w:tcW w:w="1242"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0.62</w:t>
            </w:r>
          </w:p>
        </w:tc>
        <w:tc>
          <w:tcPr>
            <w:tcW w:w="1222"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0.55</w:t>
            </w:r>
          </w:p>
        </w:tc>
        <w:tc>
          <w:tcPr>
            <w:tcW w:w="1222"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0.43</w:t>
            </w:r>
          </w:p>
        </w:tc>
        <w:tc>
          <w:tcPr>
            <w:tcW w:w="1233"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0.71</w:t>
            </w:r>
          </w:p>
        </w:tc>
      </w:tr>
      <w:tr w:rsidR="0062079C" w:rsidRPr="005F2FE1" w:rsidTr="00D31337">
        <w:tc>
          <w:tcPr>
            <w:tcW w:w="1426"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Times New Roman" w:cs="Times New Roman"/>
                <w:i/>
                <w:iCs/>
                <w:color w:val="000000"/>
                <w:sz w:val="16"/>
                <w:szCs w:val="16"/>
                <w:lang w:val="en-US" w:eastAsia="en-AU"/>
              </w:rPr>
              <w:t>SB</w:t>
            </w:r>
            <w:r w:rsidRPr="005F2FE1">
              <w:rPr>
                <w:rFonts w:eastAsia="Times New Roman" w:cs="Times New Roman"/>
                <w:i/>
                <w:iCs/>
                <w:color w:val="000000"/>
                <w:sz w:val="16"/>
                <w:szCs w:val="16"/>
                <w:vertAlign w:val="subscript"/>
                <w:lang w:val="en-US" w:eastAsia="en-AU"/>
              </w:rPr>
              <w:t>latest</w:t>
            </w:r>
            <w:r w:rsidRPr="005F2FE1">
              <w:rPr>
                <w:rFonts w:eastAsia="Times New Roman" w:cs="Times New Roman"/>
                <w:i/>
                <w:iCs/>
                <w:color w:val="000000"/>
                <w:sz w:val="16"/>
                <w:szCs w:val="16"/>
                <w:lang w:val="en-US" w:eastAsia="en-AU"/>
              </w:rPr>
              <w:t>/SB</w:t>
            </w:r>
            <w:r w:rsidRPr="005F2FE1">
              <w:rPr>
                <w:rFonts w:eastAsia="Times New Roman" w:cs="Times New Roman"/>
                <w:i/>
                <w:iCs/>
                <w:color w:val="000000"/>
                <w:sz w:val="16"/>
                <w:szCs w:val="16"/>
                <w:vertAlign w:val="subscript"/>
                <w:lang w:val="en-US" w:eastAsia="en-AU"/>
              </w:rPr>
              <w:t>F=0</w:t>
            </w:r>
          </w:p>
        </w:tc>
        <w:tc>
          <w:tcPr>
            <w:tcW w:w="1242"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0.58</w:t>
            </w:r>
          </w:p>
        </w:tc>
        <w:tc>
          <w:tcPr>
            <w:tcW w:w="1222"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0.51</w:t>
            </w:r>
          </w:p>
        </w:tc>
        <w:tc>
          <w:tcPr>
            <w:tcW w:w="1222"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0.39</w:t>
            </w:r>
          </w:p>
        </w:tc>
        <w:tc>
          <w:tcPr>
            <w:tcW w:w="1233"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0.67</w:t>
            </w:r>
          </w:p>
        </w:tc>
      </w:tr>
      <w:tr w:rsidR="0062079C" w:rsidRPr="005F2FE1" w:rsidTr="00D31337">
        <w:tc>
          <w:tcPr>
            <w:tcW w:w="1426"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Times New Roman" w:cs="Times New Roman"/>
                <w:i/>
                <w:iCs/>
                <w:color w:val="000000"/>
                <w:sz w:val="16"/>
                <w:szCs w:val="16"/>
                <w:lang w:val="en-US" w:eastAsia="en-AU"/>
              </w:rPr>
              <w:t>SB</w:t>
            </w:r>
            <w:r w:rsidRPr="005F2FE1">
              <w:rPr>
                <w:rFonts w:eastAsia="Times New Roman" w:cs="Times New Roman"/>
                <w:i/>
                <w:iCs/>
                <w:color w:val="000000"/>
                <w:sz w:val="16"/>
                <w:szCs w:val="16"/>
                <w:vertAlign w:val="subscript"/>
                <w:lang w:val="en-US" w:eastAsia="en-AU"/>
              </w:rPr>
              <w:t>latest</w:t>
            </w:r>
            <w:r w:rsidRPr="005F2FE1">
              <w:rPr>
                <w:rFonts w:eastAsia="Times New Roman" w:cs="Times New Roman"/>
                <w:i/>
                <w:iCs/>
                <w:color w:val="000000"/>
                <w:sz w:val="16"/>
                <w:szCs w:val="16"/>
                <w:lang w:val="en-US" w:eastAsia="en-AU"/>
              </w:rPr>
              <w:t>/SB</w:t>
            </w:r>
            <w:r w:rsidRPr="005F2FE1">
              <w:rPr>
                <w:rFonts w:eastAsia="Times New Roman" w:cs="Times New Roman"/>
                <w:i/>
                <w:iCs/>
                <w:color w:val="000000"/>
                <w:sz w:val="16"/>
                <w:szCs w:val="16"/>
                <w:vertAlign w:val="subscript"/>
                <w:lang w:val="en-US" w:eastAsia="en-AU"/>
              </w:rPr>
              <w:t>MSY</w:t>
            </w:r>
          </w:p>
        </w:tc>
        <w:tc>
          <w:tcPr>
            <w:tcW w:w="1242"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2.56</w:t>
            </w:r>
          </w:p>
        </w:tc>
        <w:tc>
          <w:tcPr>
            <w:tcW w:w="1222"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2.15</w:t>
            </w:r>
          </w:p>
        </w:tc>
        <w:tc>
          <w:tcPr>
            <w:tcW w:w="1222"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1.60</w:t>
            </w:r>
          </w:p>
        </w:tc>
        <w:tc>
          <w:tcPr>
            <w:tcW w:w="1233"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3.08</w:t>
            </w:r>
          </w:p>
        </w:tc>
      </w:tr>
      <w:tr w:rsidR="0062079C" w:rsidRPr="005F2FE1" w:rsidTr="00D31337">
        <w:tc>
          <w:tcPr>
            <w:tcW w:w="1426"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Times New Roman" w:cs="Times New Roman"/>
                <w:i/>
                <w:iCs/>
                <w:color w:val="000000"/>
                <w:sz w:val="16"/>
                <w:szCs w:val="16"/>
                <w:lang w:val="en-US" w:eastAsia="en-AU"/>
              </w:rPr>
              <w:t>SB</w:t>
            </w:r>
            <w:r w:rsidRPr="005F2FE1">
              <w:rPr>
                <w:rFonts w:eastAsia="Times New Roman" w:cs="Times New Roman"/>
                <w:i/>
                <w:iCs/>
                <w:color w:val="000000"/>
                <w:sz w:val="16"/>
                <w:szCs w:val="16"/>
                <w:vertAlign w:val="subscript"/>
                <w:lang w:val="en-US" w:eastAsia="en-AU"/>
              </w:rPr>
              <w:t>recent</w:t>
            </w:r>
            <w:r w:rsidRPr="005F2FE1">
              <w:rPr>
                <w:rFonts w:eastAsia="Times New Roman" w:cs="Times New Roman"/>
                <w:i/>
                <w:iCs/>
                <w:color w:val="000000"/>
                <w:sz w:val="16"/>
                <w:szCs w:val="16"/>
                <w:lang w:val="en-US" w:eastAsia="en-AU"/>
              </w:rPr>
              <w:t>/SB</w:t>
            </w:r>
            <w:r w:rsidRPr="005F2FE1">
              <w:rPr>
                <w:rFonts w:eastAsia="Times New Roman" w:cs="Times New Roman"/>
                <w:i/>
                <w:iCs/>
                <w:color w:val="000000"/>
                <w:sz w:val="16"/>
                <w:szCs w:val="16"/>
                <w:vertAlign w:val="subscript"/>
                <w:lang w:val="en-US" w:eastAsia="en-AU"/>
              </w:rPr>
              <w:t>0</w:t>
            </w:r>
          </w:p>
        </w:tc>
        <w:tc>
          <w:tcPr>
            <w:tcW w:w="1242"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0.52</w:t>
            </w:r>
          </w:p>
        </w:tc>
        <w:tc>
          <w:tcPr>
            <w:tcW w:w="1222"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0.49</w:t>
            </w:r>
          </w:p>
        </w:tc>
        <w:tc>
          <w:tcPr>
            <w:tcW w:w="1222"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0.40</w:t>
            </w:r>
          </w:p>
        </w:tc>
        <w:tc>
          <w:tcPr>
            <w:tcW w:w="1233"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0.57</w:t>
            </w:r>
          </w:p>
        </w:tc>
      </w:tr>
      <w:tr w:rsidR="0062079C" w:rsidRPr="005F2FE1" w:rsidTr="00D31337">
        <w:tc>
          <w:tcPr>
            <w:tcW w:w="1426"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Times New Roman" w:cs="Times New Roman"/>
                <w:i/>
                <w:iCs/>
                <w:color w:val="000000"/>
                <w:sz w:val="16"/>
                <w:szCs w:val="16"/>
                <w:lang w:val="en-US" w:eastAsia="en-AU"/>
              </w:rPr>
              <w:t>SB</w:t>
            </w:r>
            <w:r w:rsidRPr="005F2FE1">
              <w:rPr>
                <w:rFonts w:eastAsia="Times New Roman" w:cs="Times New Roman"/>
                <w:i/>
                <w:iCs/>
                <w:color w:val="000000"/>
                <w:sz w:val="16"/>
                <w:szCs w:val="16"/>
                <w:vertAlign w:val="subscript"/>
                <w:lang w:val="en-US" w:eastAsia="en-AU"/>
              </w:rPr>
              <w:t>recent</w:t>
            </w:r>
            <w:r w:rsidRPr="005F2FE1">
              <w:rPr>
                <w:rFonts w:eastAsia="Times New Roman" w:cs="Times New Roman"/>
                <w:i/>
                <w:iCs/>
                <w:color w:val="000000"/>
                <w:sz w:val="16"/>
                <w:szCs w:val="16"/>
                <w:lang w:val="en-US" w:eastAsia="en-AU"/>
              </w:rPr>
              <w:t>/SB</w:t>
            </w:r>
            <w:r w:rsidRPr="005F2FE1">
              <w:rPr>
                <w:rFonts w:eastAsia="Times New Roman" w:cs="Times New Roman"/>
                <w:i/>
                <w:iCs/>
                <w:color w:val="000000"/>
                <w:sz w:val="16"/>
                <w:szCs w:val="16"/>
                <w:vertAlign w:val="subscript"/>
                <w:lang w:val="en-US" w:eastAsia="en-AU"/>
              </w:rPr>
              <w:t>F=0</w:t>
            </w:r>
          </w:p>
        </w:tc>
        <w:tc>
          <w:tcPr>
            <w:tcW w:w="1242"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2.31</w:t>
            </w:r>
          </w:p>
        </w:tc>
        <w:tc>
          <w:tcPr>
            <w:tcW w:w="1222"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2.04</w:t>
            </w:r>
          </w:p>
        </w:tc>
        <w:tc>
          <w:tcPr>
            <w:tcW w:w="1222"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1.58</w:t>
            </w:r>
          </w:p>
        </w:tc>
        <w:tc>
          <w:tcPr>
            <w:tcW w:w="1233" w:type="dxa"/>
          </w:tcPr>
          <w:p w:rsidR="0062079C" w:rsidRPr="005F2FE1" w:rsidRDefault="0062079C" w:rsidP="00D31337">
            <w:pPr>
              <w:keepNext/>
              <w:adjustRightInd w:val="0"/>
              <w:snapToGrid w:val="0"/>
              <w:ind w:right="115"/>
              <w:jc w:val="both"/>
              <w:rPr>
                <w:rFonts w:eastAsia="Batang" w:cs="Times New Roman"/>
                <w:bCs/>
                <w:sz w:val="16"/>
                <w:szCs w:val="16"/>
                <w:lang w:val="en-US"/>
              </w:rPr>
            </w:pPr>
            <w:r w:rsidRPr="005F2FE1">
              <w:rPr>
                <w:rFonts w:eastAsia="Batang" w:cs="Times New Roman"/>
                <w:bCs/>
                <w:sz w:val="16"/>
                <w:szCs w:val="16"/>
                <w:lang w:val="en-US"/>
              </w:rPr>
              <w:t>2.65</w:t>
            </w:r>
          </w:p>
        </w:tc>
      </w:tr>
    </w:tbl>
    <w:p w:rsidR="0062079C" w:rsidRDefault="0062079C" w:rsidP="00A3563E"/>
    <w:p w:rsidR="005C648E" w:rsidRDefault="00E850F7" w:rsidP="00A3563E">
      <w:r>
        <w:t xml:space="preserve">Trends in estimated recruitment, spawning biomass, fishing mortality and depletion are shown in </w:t>
      </w:r>
      <w:r w:rsidRPr="00A3563E">
        <w:rPr>
          <w:highlight w:val="green"/>
        </w:rPr>
        <w:t>Figures SKJ 1-4</w:t>
      </w:r>
      <w:r>
        <w:t>.</w:t>
      </w:r>
      <w:r w:rsidR="005C648E" w:rsidRPr="005C648E">
        <w:rPr>
          <w:highlight w:val="green"/>
          <w:lang w:eastAsia="ja-JP"/>
        </w:rPr>
        <w:t>[same Figures as option1]</w:t>
      </w:r>
    </w:p>
    <w:p w:rsidR="00E850F7" w:rsidRDefault="00E850F7" w:rsidP="00A3563E">
      <w:r>
        <w:t>Dynamics of most model quantities are relatively consistent with the results of the 2014 stock assessment, although there has been a period of several subsequent years with high recruitments and increased spawning biomass.</w:t>
      </w:r>
    </w:p>
    <w:p w:rsidR="00E850F7" w:rsidRDefault="00E850F7" w:rsidP="00A3563E">
      <w:r w:rsidRPr="00EA50F9">
        <w:t>Fishing mortality of all age-classes is estimated to have increased signi</w:t>
      </w:r>
      <w:r>
        <w:t>fi</w:t>
      </w:r>
      <w:r w:rsidRPr="00EA50F9">
        <w:t>cantly since the beginning of industrial tuna fishing, but fishing mortality still remains below the level that would result in the MSY</w:t>
      </w:r>
      <w:r>
        <w:t xml:space="preserve"> (</w:t>
      </w:r>
      <w:r w:rsidRPr="00A3563E">
        <w:rPr>
          <w:rFonts w:eastAsia="MS Mincho" w:cs="Times New Roman"/>
          <w:i/>
          <w:lang w:val="en-US"/>
        </w:rPr>
        <w:t>F</w:t>
      </w:r>
      <w:r w:rsidRPr="00A3563E">
        <w:rPr>
          <w:rFonts w:eastAsia="MS Mincho" w:cs="Times New Roman"/>
          <w:i/>
          <w:vertAlign w:val="subscript"/>
          <w:lang w:val="en-US"/>
        </w:rPr>
        <w:t>recent</w:t>
      </w:r>
      <w:r w:rsidRPr="00A3563E">
        <w:rPr>
          <w:rFonts w:eastAsia="MS Mincho" w:cs="Times New Roman"/>
          <w:i/>
          <w:lang w:val="en-US"/>
        </w:rPr>
        <w:t>/F</w:t>
      </w:r>
      <w:r w:rsidRPr="00A3563E">
        <w:rPr>
          <w:rFonts w:eastAsia="MS Mincho" w:cs="Times New Roman"/>
          <w:i/>
          <w:vertAlign w:val="subscript"/>
          <w:lang w:val="en-US"/>
        </w:rPr>
        <w:t>MSY</w:t>
      </w:r>
      <w:r w:rsidRPr="00A3563E">
        <w:rPr>
          <w:rFonts w:eastAsia="MS Mincho" w:cs="Times New Roman"/>
          <w:lang w:val="en-US"/>
        </w:rPr>
        <w:t xml:space="preserve"> = </w:t>
      </w:r>
      <w:r>
        <w:t xml:space="preserve"> 0.48 for the median across the grid)</w:t>
      </w:r>
      <w:r w:rsidRPr="00EA50F9">
        <w:t>, and is estimated to have decreased moderately in the last several years.</w:t>
      </w:r>
      <w:r w:rsidRPr="00A3563E">
        <w:rPr>
          <w:rFonts w:eastAsia="MS Mincho" w:cs="Times New Roman"/>
          <w:lang w:val="en-US"/>
        </w:rPr>
        <w:t xml:space="preserve"> </w:t>
      </w:r>
      <w:r w:rsidR="00287504" w:rsidRPr="00A3563E">
        <w:rPr>
          <w:rFonts w:eastAsia="MS Mincho" w:cs="Times New Roman"/>
          <w:lang w:val="en-US"/>
        </w:rPr>
        <w:t xml:space="preserve">Across the structural uncertainty grid </w:t>
      </w:r>
      <w:r w:rsidR="00287504" w:rsidRPr="00A3563E">
        <w:rPr>
          <w:rFonts w:eastAsia="MS Mincho" w:cs="Times New Roman"/>
          <w:i/>
          <w:lang w:val="en-US"/>
        </w:rPr>
        <w:t>F</w:t>
      </w:r>
      <w:r w:rsidR="00287504" w:rsidRPr="00A3563E">
        <w:rPr>
          <w:rFonts w:eastAsia="MS Mincho" w:cs="Times New Roman"/>
          <w:i/>
          <w:vertAlign w:val="subscript"/>
          <w:lang w:val="en-US"/>
        </w:rPr>
        <w:t>recent</w:t>
      </w:r>
      <w:r w:rsidR="00287504" w:rsidRPr="00A3563E">
        <w:rPr>
          <w:rFonts w:eastAsia="MS Mincho" w:cs="Times New Roman"/>
          <w:i/>
          <w:lang w:val="en-US"/>
        </w:rPr>
        <w:t>/F</w:t>
      </w:r>
      <w:r w:rsidR="00287504" w:rsidRPr="00A3563E">
        <w:rPr>
          <w:rFonts w:eastAsia="MS Mincho" w:cs="Times New Roman"/>
          <w:i/>
          <w:vertAlign w:val="subscript"/>
          <w:lang w:val="en-US"/>
        </w:rPr>
        <w:t>MSY</w:t>
      </w:r>
      <w:r w:rsidR="00287504" w:rsidRPr="00A3563E">
        <w:rPr>
          <w:rFonts w:eastAsia="MS Mincho" w:cs="Times New Roman"/>
          <w:lang w:val="en-US"/>
        </w:rPr>
        <w:t xml:space="preserve"> varied between 0.38 (5% quantile) to 0.64 (95% quantile). </w:t>
      </w:r>
      <w:r w:rsidRPr="00A3563E">
        <w:rPr>
          <w:rFonts w:eastAsia="MS Mincho" w:cs="Times New Roman"/>
          <w:lang w:val="en-US"/>
        </w:rPr>
        <w:t xml:space="preserve"> This indicates that overfishing is not occurring for the WCPO skipjack tuna stock</w:t>
      </w:r>
      <w:r w:rsidR="005C648E">
        <w:rPr>
          <w:rFonts w:eastAsia="MS Mincho" w:cs="Times New Roman"/>
          <w:lang w:val="en-US"/>
        </w:rPr>
        <w:t xml:space="preserve"> (Figure SKJ 5)</w:t>
      </w:r>
      <w:r w:rsidRPr="00A3563E">
        <w:rPr>
          <w:rFonts w:eastAsia="MS Mincho" w:cs="Times New Roman"/>
          <w:lang w:val="en-US"/>
        </w:rPr>
        <w:t>.</w:t>
      </w:r>
    </w:p>
    <w:p w:rsidR="005F2FE1" w:rsidRDefault="00BF094D" w:rsidP="00A3563E">
      <w:r>
        <w:t xml:space="preserve">The </w:t>
      </w:r>
      <w:r w:rsidR="002D5A2B">
        <w:t xml:space="preserve">median </w:t>
      </w:r>
      <w:r>
        <w:t xml:space="preserve">estimated MSY </w:t>
      </w:r>
      <w:r w:rsidR="0003694D">
        <w:t>across the grid was</w:t>
      </w:r>
      <w:r w:rsidR="002D5A2B">
        <w:t xml:space="preserve"> 1,875</w:t>
      </w:r>
      <w:r>
        <w:t xml:space="preserve">,600 mt </w:t>
      </w:r>
      <w:r w:rsidR="009546DB">
        <w:t>(</w:t>
      </w:r>
      <w:r w:rsidR="00225C84">
        <w:t xml:space="preserve">95% quantiles </w:t>
      </w:r>
      <w:r w:rsidR="002D5A2B">
        <w:t xml:space="preserve">= 1,618,060 </w:t>
      </w:r>
      <w:r w:rsidR="00225C84">
        <w:t>-</w:t>
      </w:r>
      <w:r w:rsidR="002D5A2B">
        <w:t xml:space="preserve"> 2,199,880) </w:t>
      </w:r>
      <w:r w:rsidR="0003694D">
        <w:t xml:space="preserve">which </w:t>
      </w:r>
      <w:r>
        <w:t xml:space="preserve">is moderately higher than the 2014 estimate </w:t>
      </w:r>
      <w:r w:rsidR="002D5A2B">
        <w:t xml:space="preserve">(grid median = 1,758,600, </w:t>
      </w:r>
      <w:r w:rsidR="00F26150">
        <w:t xml:space="preserve">95% quantiles </w:t>
      </w:r>
      <w:r w:rsidR="002D5A2B">
        <w:t xml:space="preserve">= 1,347,000 – 3,051,900) </w:t>
      </w:r>
      <w:r>
        <w:t>due to the adoption of an annual, rather than quarterly, stock-recruitment relationship. Recent catches are lower than, but approaching, this MSY value</w:t>
      </w:r>
      <w:r w:rsidR="005C648E">
        <w:t xml:space="preserve"> (Figure SKJ 6)</w:t>
      </w:r>
      <w:r>
        <w:t>.</w:t>
      </w:r>
    </w:p>
    <w:p w:rsidR="00BF094D" w:rsidRDefault="00BF094D" w:rsidP="00A3563E">
      <w:r>
        <w:t xml:space="preserve">The latest (2015) estimate of spawning biomass is well above both the </w:t>
      </w:r>
      <w:r w:rsidRPr="00474719">
        <w:t>level that will support MSY (</w:t>
      </w:r>
      <w:r w:rsidRPr="001F07B5">
        <w:t>SB</w:t>
      </w:r>
      <w:r w:rsidRPr="00A3563E">
        <w:rPr>
          <w:vertAlign w:val="subscript"/>
        </w:rPr>
        <w:t>latest</w:t>
      </w:r>
      <w:r w:rsidRPr="00474719">
        <w:t>/SB</w:t>
      </w:r>
      <w:r w:rsidRPr="00A3563E">
        <w:rPr>
          <w:vertAlign w:val="subscript"/>
        </w:rPr>
        <w:t>MSY</w:t>
      </w:r>
      <w:r w:rsidRPr="00474719">
        <w:t xml:space="preserve"> </w:t>
      </w:r>
      <w:r w:rsidR="001A4CE4">
        <w:t xml:space="preserve">= </w:t>
      </w:r>
      <w:r w:rsidR="00F26150">
        <w:t xml:space="preserve">2.15 </w:t>
      </w:r>
      <w:r w:rsidR="001A4CE4">
        <w:t>for the median across the grid</w:t>
      </w:r>
      <w:r>
        <w:t xml:space="preserve">) and the </w:t>
      </w:r>
      <w:r w:rsidRPr="00474719">
        <w:t>adopted LRP of 0.2</w:t>
      </w:r>
      <w:r>
        <w:t xml:space="preserve"> </w:t>
      </w:r>
      <w:r w:rsidRPr="00474719">
        <w:t>SB</w:t>
      </w:r>
      <w:r w:rsidRPr="00A3563E">
        <w:rPr>
          <w:vertAlign w:val="subscript"/>
        </w:rPr>
        <w:t xml:space="preserve">F=0 </w:t>
      </w:r>
      <w:r w:rsidRPr="00474719">
        <w:t>(SB</w:t>
      </w:r>
      <w:r w:rsidRPr="00A3563E">
        <w:rPr>
          <w:vertAlign w:val="subscript"/>
        </w:rPr>
        <w:t>latest</w:t>
      </w:r>
      <w:r w:rsidRPr="00474719">
        <w:t>/SB</w:t>
      </w:r>
      <w:r w:rsidRPr="00A3563E">
        <w:rPr>
          <w:vertAlign w:val="subscript"/>
        </w:rPr>
        <w:t xml:space="preserve">F=0 </w:t>
      </w:r>
      <w:r>
        <w:t xml:space="preserve">= </w:t>
      </w:r>
      <w:r w:rsidR="00F26150">
        <w:t>0.51</w:t>
      </w:r>
      <w:r>
        <w:t xml:space="preserve"> </w:t>
      </w:r>
      <w:r w:rsidR="001A4CE4">
        <w:t>for the median across the grid</w:t>
      </w:r>
      <w:r>
        <w:t xml:space="preserve">), and </w:t>
      </w:r>
      <w:r w:rsidRPr="00474719">
        <w:t>SB</w:t>
      </w:r>
      <w:r w:rsidRPr="00A3563E">
        <w:rPr>
          <w:vertAlign w:val="subscript"/>
        </w:rPr>
        <w:t>latest</w:t>
      </w:r>
      <w:r w:rsidRPr="00474719">
        <w:t>/SB</w:t>
      </w:r>
      <w:r w:rsidRPr="00A3563E">
        <w:rPr>
          <w:vertAlign w:val="subscript"/>
        </w:rPr>
        <w:t xml:space="preserve">F=0 </w:t>
      </w:r>
      <w:r>
        <w:t xml:space="preserve">was relatively close to the adopted interim target reference point (0.5 </w:t>
      </w:r>
      <w:r w:rsidRPr="00474719">
        <w:t>SB</w:t>
      </w:r>
      <w:r w:rsidRPr="00A3563E">
        <w:rPr>
          <w:vertAlign w:val="subscript"/>
        </w:rPr>
        <w:t>F=0</w:t>
      </w:r>
      <w:r>
        <w:t xml:space="preserve">) for all models explored in the assessment (structural uncertainty grid: </w:t>
      </w:r>
      <w:r w:rsidR="001A4CE4">
        <w:t>95% quantiles =  0.39 and 0.67).</w:t>
      </w:r>
    </w:p>
    <w:p w:rsidR="00250B91" w:rsidRDefault="002C796D" w:rsidP="00A3563E">
      <w:r w:rsidRPr="002C796D">
        <w:t>SC12 further advises the WCPFC that there is continuous concern that high catches in the equatorial region could result in range contractions of the stocks, thus reducing skipjack tuna availability to high latitude fisheries. SC12 recommends that further research on range contraction of skipjack tuna be conducted in the framework of Project 67.</w:t>
      </w:r>
    </w:p>
    <w:p w:rsidR="00BF094D" w:rsidRPr="005F2FE1" w:rsidRDefault="005F2FE1" w:rsidP="00287504">
      <w:pPr>
        <w:pStyle w:val="Best2"/>
        <w:numPr>
          <w:ilvl w:val="0"/>
          <w:numId w:val="0"/>
        </w:numPr>
        <w:adjustRightInd w:val="0"/>
        <w:snapToGrid w:val="0"/>
        <w:spacing w:after="0" w:line="240" w:lineRule="auto"/>
        <w:rPr>
          <w:rFonts w:asciiTheme="minorHAnsi" w:hAnsiTheme="minorHAnsi" w:cstheme="minorBidi"/>
          <w:b/>
        </w:rPr>
      </w:pPr>
      <w:r w:rsidRPr="005F2FE1">
        <w:rPr>
          <w:rFonts w:asciiTheme="minorHAnsi" w:hAnsiTheme="minorHAnsi" w:cstheme="minorBidi"/>
          <w:b/>
        </w:rPr>
        <w:t>Stock status and trends</w:t>
      </w:r>
    </w:p>
    <w:p w:rsidR="00060401" w:rsidRPr="00060401" w:rsidRDefault="00060401" w:rsidP="00060401">
      <w:pPr>
        <w:rPr>
          <w:b/>
        </w:rPr>
      </w:pPr>
      <w:r>
        <w:rPr>
          <w:b/>
        </w:rPr>
        <w:t xml:space="preserve">Option 3– stock status based on the all of the </w:t>
      </w:r>
      <w:r w:rsidRPr="00E850F7">
        <w:rPr>
          <w:b/>
        </w:rPr>
        <w:t>structural uncertainty grid</w:t>
      </w:r>
    </w:p>
    <w:p w:rsidR="007F6CBD" w:rsidRDefault="00060401" w:rsidP="00060401">
      <w:pPr>
        <w:adjustRightInd w:val="0"/>
        <w:snapToGrid w:val="0"/>
        <w:jc w:val="both"/>
        <w:rPr>
          <w:rFonts w:eastAsia="MS Mincho" w:cs="Times New Roman"/>
          <w:b/>
          <w:highlight w:val="yellow"/>
          <w:lang w:val="en-US" w:eastAsia="ja-JP"/>
        </w:rPr>
      </w:pPr>
      <w:r w:rsidRPr="00060401">
        <w:rPr>
          <w:rFonts w:eastAsia="MS Mincho" w:cs="Times New Roman"/>
          <w:lang w:val="en-US"/>
        </w:rPr>
        <w:t xml:space="preserve">SC12 was unable to select a base case from various sensitivity models because they are all considered plausible. Therefore, SC12 decided to provide advice to WCPFC based on the all of the sensitivity models. </w:t>
      </w:r>
      <w:r w:rsidR="007F6CBD">
        <w:rPr>
          <w:rFonts w:eastAsia="MS Mincho" w:cs="Times New Roman"/>
          <w:lang w:val="en-US"/>
        </w:rPr>
        <w:t xml:space="preserve">Description of the reference case and key models chosen for the provision of management advice is shown in </w:t>
      </w:r>
      <w:r w:rsidRPr="00060401">
        <w:rPr>
          <w:rFonts w:eastAsia="MS Mincho" w:cs="Times New Roman"/>
          <w:lang w:val="en-US"/>
        </w:rPr>
        <w:t xml:space="preserve"> </w:t>
      </w:r>
      <w:r w:rsidRPr="007F6CBD">
        <w:rPr>
          <w:rFonts w:eastAsia="MS Mincho" w:cs="Times New Roman"/>
          <w:highlight w:val="yellow"/>
          <w:lang w:val="en-US"/>
        </w:rPr>
        <w:t>Table SKJ1</w:t>
      </w:r>
      <w:r w:rsidRPr="00060401">
        <w:rPr>
          <w:rFonts w:eastAsia="MS Mincho" w:cs="Times New Roman"/>
          <w:lang w:val="en-US"/>
        </w:rPr>
        <w:t>.</w:t>
      </w:r>
      <w:r w:rsidRPr="00060401">
        <w:rPr>
          <w:rFonts w:eastAsia="MS Mincho" w:cs="Times New Roman"/>
          <w:b/>
          <w:highlight w:val="yellow"/>
          <w:lang w:val="en-US" w:eastAsia="ja-JP"/>
        </w:rPr>
        <w:t xml:space="preserve"> </w:t>
      </w:r>
    </w:p>
    <w:p w:rsidR="00AE24B8" w:rsidRDefault="00060401" w:rsidP="005C648E">
      <w:pPr>
        <w:adjustRightInd w:val="0"/>
        <w:snapToGrid w:val="0"/>
        <w:jc w:val="both"/>
        <w:rPr>
          <w:rFonts w:eastAsia="MS Mincho" w:cs="Times New Roman"/>
          <w:lang w:val="en-US" w:eastAsia="ja-JP"/>
        </w:rPr>
      </w:pPr>
      <w:r w:rsidRPr="00D43F2D">
        <w:rPr>
          <w:rFonts w:eastAsia="MS Mincho" w:cs="Times New Roman"/>
          <w:b/>
          <w:highlight w:val="yellow"/>
          <w:lang w:val="en-US" w:eastAsia="ja-JP"/>
        </w:rPr>
        <w:t xml:space="preserve">Table SKJ1: </w:t>
      </w:r>
      <w:r w:rsidRPr="00D43F2D">
        <w:rPr>
          <w:rFonts w:eastAsia="MS Mincho" w:cs="Times New Roman"/>
          <w:highlight w:val="yellow"/>
          <w:lang w:val="en-US" w:eastAsia="ja-JP"/>
        </w:rPr>
        <w:t>Description of the reference case and key models chosen for the provision of management advice. (INSERT TABLE 5 FROM ASSESSMENT REPORT)</w:t>
      </w:r>
      <w:r w:rsidR="00AE24B8">
        <w:rPr>
          <w:rFonts w:eastAsia="MS Mincho" w:cs="Times New Roman" w:hint="eastAsia"/>
          <w:lang w:val="en-US" w:eastAsia="ja-JP"/>
        </w:rPr>
        <w:t xml:space="preserve"> </w:t>
      </w:r>
      <w:r w:rsidR="00AE24B8">
        <w:rPr>
          <w:rFonts w:eastAsia="MS Mincho" w:cs="Times New Roman"/>
          <w:lang w:val="en-US" w:eastAsia="ja-JP"/>
        </w:rPr>
        <w:t>The reference case option is denoted in bold face.</w:t>
      </w:r>
    </w:p>
    <w:p w:rsidR="005F2FE1" w:rsidRDefault="00AE24B8" w:rsidP="005F2FE1">
      <w:pPr>
        <w:adjustRightInd w:val="0"/>
        <w:snapToGrid w:val="0"/>
        <w:jc w:val="both"/>
        <w:rPr>
          <w:rFonts w:eastAsia="MS Mincho" w:cs="Times New Roman"/>
          <w:lang w:val="en-US" w:eastAsia="ja-JP"/>
        </w:rPr>
      </w:pPr>
      <w:r w:rsidRPr="00AE24B8">
        <w:rPr>
          <w:rFonts w:eastAsia="MS Mincho" w:cs="Times New Roman" w:hint="eastAsia"/>
          <w:noProof/>
          <w:lang w:val="en-US"/>
        </w:rPr>
        <w:drawing>
          <wp:inline distT="0" distB="0" distL="0" distR="0">
            <wp:extent cx="3927320" cy="666750"/>
            <wp:effectExtent l="0" t="0" r="0" b="0"/>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929537" cy="667126"/>
                    </a:xfrm>
                    <a:prstGeom prst="rect">
                      <a:avLst/>
                    </a:prstGeom>
                    <a:noFill/>
                    <a:ln>
                      <a:noFill/>
                    </a:ln>
                  </pic:spPr>
                </pic:pic>
              </a:graphicData>
            </a:graphic>
          </wp:inline>
        </w:drawing>
      </w:r>
    </w:p>
    <w:p w:rsidR="005F2FE1" w:rsidRDefault="007F6CBD" w:rsidP="005F2FE1">
      <w:pPr>
        <w:adjustRightInd w:val="0"/>
        <w:snapToGrid w:val="0"/>
        <w:jc w:val="both"/>
      </w:pPr>
      <w:r w:rsidRPr="007F6CBD">
        <w:t xml:space="preserve">Time trends in estimated recruitment, biomass, fishing mortality and depletion of various model settings are shown in </w:t>
      </w:r>
      <w:r w:rsidRPr="002C796D">
        <w:rPr>
          <w:highlight w:val="yellow"/>
        </w:rPr>
        <w:t>Figures SKJ 1–4</w:t>
      </w:r>
      <w:r w:rsidRPr="007F6CBD">
        <w:t>.</w:t>
      </w:r>
    </w:p>
    <w:p w:rsidR="005F2FE1" w:rsidRPr="005F2FE1" w:rsidRDefault="005F2FE1" w:rsidP="005F2FE1">
      <w:pPr>
        <w:adjustRightInd w:val="0"/>
        <w:snapToGrid w:val="0"/>
        <w:jc w:val="both"/>
      </w:pPr>
    </w:p>
    <w:tbl>
      <w:tblPr>
        <w:tblStyle w:val="TableGrid"/>
        <w:tblW w:w="0" w:type="auto"/>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firstRow="1" w:lastRow="0" w:firstColumn="1" w:lastColumn="0" w:noHBand="0" w:noVBand="1"/>
      </w:tblPr>
      <w:tblGrid>
        <w:gridCol w:w="4820"/>
        <w:gridCol w:w="4422"/>
      </w:tblGrid>
      <w:tr w:rsidR="001C5CB9" w:rsidRPr="00737053" w:rsidTr="00D31337">
        <w:tc>
          <w:tcPr>
            <w:tcW w:w="4644" w:type="dxa"/>
          </w:tcPr>
          <w:p w:rsidR="00C63BA3" w:rsidRPr="00737053" w:rsidRDefault="00C63BA3" w:rsidP="00D31337">
            <w:pPr>
              <w:adjustRightInd w:val="0"/>
              <w:snapToGrid w:val="0"/>
              <w:jc w:val="both"/>
              <w:rPr>
                <w:rFonts w:eastAsia="Malgun Gothic" w:cs="Times New Roman"/>
                <w:b/>
                <w:lang w:val="en-US" w:eastAsia="ko-KR"/>
              </w:rPr>
            </w:pPr>
            <w:r>
              <w:rPr>
                <w:noProof/>
                <w:lang w:val="en-US"/>
              </w:rPr>
              <w:drawing>
                <wp:inline distT="0" distB="0" distL="0" distR="0" wp14:anchorId="391E2D81" wp14:editId="55C48813">
                  <wp:extent cx="2686050" cy="2063750"/>
                  <wp:effectExtent l="0" t="0" r="0" b="0"/>
                  <wp:docPr id="19" name="Picture 7" descr="C:\skj\2016\Writeup\Figures\Stepwise\plot_recruitment_compare_2016_Sensitivities2.png"/>
                  <wp:cNvGraphicFramePr/>
                  <a:graphic xmlns:a="http://schemas.openxmlformats.org/drawingml/2006/main">
                    <a:graphicData uri="http://schemas.openxmlformats.org/drawingml/2006/picture">
                      <pic:pic xmlns:pic="http://schemas.openxmlformats.org/drawingml/2006/picture">
                        <pic:nvPicPr>
                          <pic:cNvPr id="7" name="Picture 7" descr="C:\skj\2016\Writeup\Figures\Stepwise\plot_recruitment_compare_2016_Sensitivities2.png"/>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686050" cy="2063750"/>
                          </a:xfrm>
                          <a:prstGeom prst="rect">
                            <a:avLst/>
                          </a:prstGeom>
                          <a:noFill/>
                          <a:ln>
                            <a:noFill/>
                          </a:ln>
                        </pic:spPr>
                      </pic:pic>
                    </a:graphicData>
                  </a:graphic>
                </wp:inline>
              </w:drawing>
            </w:r>
          </w:p>
        </w:tc>
        <w:tc>
          <w:tcPr>
            <w:tcW w:w="4536" w:type="dxa"/>
          </w:tcPr>
          <w:p w:rsidR="00C63BA3" w:rsidRPr="00737053" w:rsidRDefault="00C63BA3" w:rsidP="00D31337">
            <w:pPr>
              <w:adjustRightInd w:val="0"/>
              <w:snapToGrid w:val="0"/>
              <w:jc w:val="both"/>
              <w:rPr>
                <w:rFonts w:eastAsia="Malgun Gothic" w:cs="Times New Roman"/>
                <w:b/>
                <w:lang w:val="en-US" w:eastAsia="ko-KR"/>
              </w:rPr>
            </w:pPr>
            <w:r>
              <w:rPr>
                <w:noProof/>
                <w:lang w:val="en-US"/>
              </w:rPr>
              <w:drawing>
                <wp:inline distT="0" distB="0" distL="0" distR="0" wp14:anchorId="6FA5356A" wp14:editId="2FFF0EA8">
                  <wp:extent cx="2686050" cy="2146300"/>
                  <wp:effectExtent l="0" t="0" r="0" b="6350"/>
                  <wp:docPr id="20" name="Picture 8" descr="C:\skj\2016\Writeup\Figures\Stepwise\plot_biomass_compare_2016_Sensitivities2.png"/>
                  <wp:cNvGraphicFramePr/>
                  <a:graphic xmlns:a="http://schemas.openxmlformats.org/drawingml/2006/main">
                    <a:graphicData uri="http://schemas.openxmlformats.org/drawingml/2006/picture">
                      <pic:pic xmlns:pic="http://schemas.openxmlformats.org/drawingml/2006/picture">
                        <pic:nvPicPr>
                          <pic:cNvPr id="8" name="Picture 8" descr="C:\skj\2016\Writeup\Figures\Stepwise\plot_biomass_compare_2016_Sensitivities2.png"/>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686050" cy="2146300"/>
                          </a:xfrm>
                          <a:prstGeom prst="rect">
                            <a:avLst/>
                          </a:prstGeom>
                          <a:noFill/>
                          <a:ln>
                            <a:noFill/>
                          </a:ln>
                        </pic:spPr>
                      </pic:pic>
                    </a:graphicData>
                  </a:graphic>
                </wp:inline>
              </w:drawing>
            </w:r>
          </w:p>
        </w:tc>
      </w:tr>
      <w:tr w:rsidR="001C5CB9" w:rsidRPr="00737053" w:rsidTr="00D31337">
        <w:tc>
          <w:tcPr>
            <w:tcW w:w="4644" w:type="dxa"/>
          </w:tcPr>
          <w:p w:rsidR="00C63BA3" w:rsidRPr="00737053" w:rsidRDefault="00C63BA3" w:rsidP="00D31337">
            <w:pPr>
              <w:adjustRightInd w:val="0"/>
              <w:snapToGrid w:val="0"/>
              <w:rPr>
                <w:rFonts w:eastAsia="Malgun Gothic" w:cs="Times New Roman"/>
                <w:b/>
                <w:sz w:val="18"/>
                <w:szCs w:val="18"/>
                <w:lang w:val="en-US" w:eastAsia="ko-KR"/>
              </w:rPr>
            </w:pPr>
            <w:r w:rsidRPr="00737053">
              <w:rPr>
                <w:rFonts w:eastAsia="MS Mincho" w:cs="Times New Roman"/>
                <w:b/>
                <w:bCs/>
                <w:sz w:val="18"/>
                <w:szCs w:val="18"/>
                <w:lang w:val="en-US" w:eastAsia="ja-JP"/>
              </w:rPr>
              <w:t xml:space="preserve">Figure SKJ1: </w:t>
            </w:r>
            <w:r w:rsidRPr="00737053">
              <w:rPr>
                <w:rFonts w:eastAsia="MS Mincho" w:cs="Times New Roman"/>
                <w:sz w:val="18"/>
                <w:szCs w:val="18"/>
                <w:lang w:val="en-US" w:eastAsia="ja-JP"/>
              </w:rPr>
              <w:t>Estimated annual recruitment (millions of fish) for the WCPO obtained from</w:t>
            </w:r>
            <w:r w:rsidRPr="00737053">
              <w:rPr>
                <w:rFonts w:eastAsia="MS Mincho" w:cs="Times New Roman"/>
                <w:bCs/>
                <w:sz w:val="18"/>
                <w:szCs w:val="18"/>
                <w:lang w:val="en-US" w:eastAsia="ja-JP"/>
              </w:rPr>
              <w:t xml:space="preserve"> the</w:t>
            </w:r>
            <w:r>
              <w:rPr>
                <w:rFonts w:eastAsia="MS Mincho" w:cs="Times New Roman"/>
                <w:sz w:val="18"/>
                <w:szCs w:val="18"/>
                <w:lang w:val="en-US" w:eastAsia="ja-JP"/>
              </w:rPr>
              <w:t xml:space="preserve"> reference </w:t>
            </w:r>
            <w:r>
              <w:rPr>
                <w:rFonts w:eastAsia="MS Mincho" w:cs="Times New Roman"/>
                <w:bCs/>
                <w:sz w:val="18"/>
                <w:szCs w:val="18"/>
                <w:lang w:val="en-US" w:eastAsia="ja-JP"/>
              </w:rPr>
              <w:t>case model and six</w:t>
            </w:r>
            <w:r w:rsidRPr="00737053">
              <w:rPr>
                <w:rFonts w:eastAsia="MS Mincho" w:cs="Times New Roman"/>
                <w:bCs/>
                <w:sz w:val="18"/>
                <w:szCs w:val="18"/>
                <w:lang w:val="en-US" w:eastAsia="ja-JP"/>
              </w:rPr>
              <w:t xml:space="preserve"> additional runs</w:t>
            </w:r>
            <w:r w:rsidRPr="00737053">
              <w:rPr>
                <w:rFonts w:eastAsia="MS Mincho" w:cs="Times New Roman"/>
                <w:sz w:val="18"/>
                <w:szCs w:val="18"/>
                <w:lang w:val="en-US" w:eastAsia="ja-JP"/>
              </w:rPr>
              <w:t xml:space="preserve">. </w:t>
            </w:r>
          </w:p>
        </w:tc>
        <w:tc>
          <w:tcPr>
            <w:tcW w:w="4536" w:type="dxa"/>
          </w:tcPr>
          <w:p w:rsidR="00C63BA3" w:rsidRPr="00737053" w:rsidRDefault="00C63BA3" w:rsidP="00D31337">
            <w:pPr>
              <w:adjustRightInd w:val="0"/>
              <w:snapToGrid w:val="0"/>
              <w:rPr>
                <w:rFonts w:eastAsia="Malgun Gothic" w:cs="Times New Roman"/>
                <w:b/>
                <w:sz w:val="18"/>
                <w:szCs w:val="18"/>
                <w:lang w:val="en-US" w:eastAsia="ko-KR"/>
              </w:rPr>
            </w:pPr>
            <w:r w:rsidRPr="00737053">
              <w:rPr>
                <w:rFonts w:eastAsia="MS Mincho" w:cs="Times New Roman"/>
                <w:b/>
                <w:sz w:val="18"/>
                <w:szCs w:val="18"/>
                <w:lang w:val="en-US" w:eastAsia="ja-JP"/>
              </w:rPr>
              <w:t xml:space="preserve">Figure SKJ2: </w:t>
            </w:r>
            <w:r w:rsidRPr="00737053">
              <w:rPr>
                <w:rFonts w:eastAsia="MS Mincho" w:cs="Times New Roman"/>
                <w:sz w:val="18"/>
                <w:szCs w:val="18"/>
                <w:lang w:val="en-US" w:eastAsia="ja-JP"/>
              </w:rPr>
              <w:t xml:space="preserve">Estimated annual average spawning potential for the WCPO obtained from </w:t>
            </w:r>
            <w:r>
              <w:rPr>
                <w:rFonts w:eastAsia="MS Mincho" w:cs="Times New Roman"/>
                <w:bCs/>
                <w:sz w:val="18"/>
                <w:szCs w:val="18"/>
                <w:lang w:val="en-US" w:eastAsia="ja-JP"/>
              </w:rPr>
              <w:t>the reference case model and six</w:t>
            </w:r>
            <w:r w:rsidRPr="00737053">
              <w:rPr>
                <w:rFonts w:eastAsia="MS Mincho" w:cs="Times New Roman"/>
                <w:bCs/>
                <w:sz w:val="18"/>
                <w:szCs w:val="18"/>
                <w:lang w:val="en-US" w:eastAsia="ja-JP"/>
              </w:rPr>
              <w:t xml:space="preserve"> additional runs.</w:t>
            </w:r>
            <w:r w:rsidRPr="00737053">
              <w:rPr>
                <w:rFonts w:eastAsia="MS Mincho" w:cs="Times New Roman"/>
                <w:sz w:val="18"/>
                <w:szCs w:val="18"/>
                <w:lang w:val="en-US" w:eastAsia="ja-JP"/>
              </w:rPr>
              <w:t xml:space="preserve"> </w:t>
            </w:r>
          </w:p>
        </w:tc>
      </w:tr>
      <w:tr w:rsidR="001C5CB9" w:rsidRPr="00737053" w:rsidTr="00D31337">
        <w:tc>
          <w:tcPr>
            <w:tcW w:w="4644" w:type="dxa"/>
            <w:vAlign w:val="center"/>
          </w:tcPr>
          <w:p w:rsidR="00C63BA3" w:rsidRPr="00737053" w:rsidRDefault="00C63BA3" w:rsidP="00D31337">
            <w:pPr>
              <w:adjustRightInd w:val="0"/>
              <w:snapToGrid w:val="0"/>
              <w:rPr>
                <w:rFonts w:eastAsia="Malgun Gothic" w:cs="Times New Roman"/>
                <w:b/>
                <w:bCs/>
                <w:lang w:val="en-US" w:eastAsia="ko-KR"/>
              </w:rPr>
            </w:pPr>
            <w:r>
              <w:rPr>
                <w:rFonts w:ascii="Calibri" w:eastAsia="MS Mincho" w:hAnsi="Calibri"/>
                <w:noProof/>
                <w:color w:val="000000"/>
                <w:lang w:val="en-US"/>
              </w:rPr>
              <w:drawing>
                <wp:inline distT="0" distB="0" distL="0" distR="0" wp14:anchorId="66E21347" wp14:editId="0A0A793E">
                  <wp:extent cx="2577948" cy="1733550"/>
                  <wp:effectExtent l="0" t="0" r="0" b="0"/>
                  <wp:docPr id="21" name="Picture 4" descr="C:\skj\2016\Writeup\Figures\Reference_Case\plot_temporal_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skj\2016\Writeup\Figures\Reference_Case\plot_temporal_F.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90423" cy="1741939"/>
                          </a:xfrm>
                          <a:prstGeom prst="rect">
                            <a:avLst/>
                          </a:prstGeom>
                          <a:noFill/>
                          <a:ln>
                            <a:noFill/>
                          </a:ln>
                        </pic:spPr>
                      </pic:pic>
                    </a:graphicData>
                  </a:graphic>
                </wp:inline>
              </w:drawing>
            </w:r>
          </w:p>
        </w:tc>
        <w:tc>
          <w:tcPr>
            <w:tcW w:w="4536" w:type="dxa"/>
            <w:vAlign w:val="center"/>
          </w:tcPr>
          <w:p w:rsidR="00C63BA3" w:rsidRPr="00737053" w:rsidRDefault="001C5CB9" w:rsidP="00D31337">
            <w:pPr>
              <w:adjustRightInd w:val="0"/>
              <w:snapToGrid w:val="0"/>
              <w:jc w:val="center"/>
              <w:rPr>
                <w:rFonts w:eastAsia="Malgun Gothic" w:cs="Times New Roman"/>
                <w:b/>
                <w:bCs/>
                <w:lang w:val="en-US" w:eastAsia="ko-KR"/>
              </w:rPr>
            </w:pPr>
            <w:r>
              <w:rPr>
                <w:noProof/>
                <w:lang w:val="en-US"/>
              </w:rPr>
              <w:drawing>
                <wp:inline distT="0" distB="0" distL="0" distR="0" wp14:anchorId="355992BD" wp14:editId="485F2FD5">
                  <wp:extent cx="2816860" cy="2247900"/>
                  <wp:effectExtent l="0" t="0" r="2540" b="0"/>
                  <wp:docPr id="9" name="Picture 9" descr="C:\skj\2016\Writeup\Figures\Stepwise\plot_depletion_compare_2016_Sensitivities2.png"/>
                  <wp:cNvGraphicFramePr/>
                  <a:graphic xmlns:a="http://schemas.openxmlformats.org/drawingml/2006/main">
                    <a:graphicData uri="http://schemas.openxmlformats.org/drawingml/2006/picture">
                      <pic:pic xmlns:pic="http://schemas.openxmlformats.org/drawingml/2006/picture">
                        <pic:nvPicPr>
                          <pic:cNvPr id="9" name="Picture 9" descr="C:\skj\2016\Writeup\Figures\Stepwise\plot_depletion_compare_2016_Sensitivities2.png"/>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816860" cy="2247900"/>
                          </a:xfrm>
                          <a:prstGeom prst="rect">
                            <a:avLst/>
                          </a:prstGeom>
                          <a:noFill/>
                          <a:ln>
                            <a:noFill/>
                          </a:ln>
                        </pic:spPr>
                      </pic:pic>
                    </a:graphicData>
                  </a:graphic>
                </wp:inline>
              </w:drawing>
            </w:r>
          </w:p>
        </w:tc>
      </w:tr>
      <w:tr w:rsidR="001C5CB9" w:rsidRPr="00737053" w:rsidTr="00D31337">
        <w:tc>
          <w:tcPr>
            <w:tcW w:w="4644" w:type="dxa"/>
          </w:tcPr>
          <w:p w:rsidR="00C63BA3" w:rsidRPr="00737053" w:rsidRDefault="00C63BA3" w:rsidP="00D31337">
            <w:pPr>
              <w:adjustRightInd w:val="0"/>
              <w:snapToGrid w:val="0"/>
              <w:rPr>
                <w:rFonts w:eastAsia="Malgun Gothic" w:cs="Times New Roman"/>
                <w:b/>
                <w:sz w:val="18"/>
                <w:szCs w:val="18"/>
                <w:lang w:val="en-US" w:eastAsia="ko-KR"/>
              </w:rPr>
            </w:pPr>
            <w:r w:rsidRPr="00737053">
              <w:rPr>
                <w:rFonts w:eastAsia="MS Mincho" w:cs="Times New Roman"/>
                <w:b/>
                <w:sz w:val="18"/>
                <w:szCs w:val="18"/>
                <w:lang w:val="en-US" w:eastAsia="ja-JP"/>
              </w:rPr>
              <w:t xml:space="preserve">Figure SKJ3: </w:t>
            </w:r>
            <w:r w:rsidRPr="00737053">
              <w:rPr>
                <w:rFonts w:eastAsia="MS Mincho" w:cs="Times New Roman"/>
                <w:sz w:val="18"/>
                <w:szCs w:val="18"/>
                <w:lang w:val="en-US" w:eastAsia="ja-JP"/>
              </w:rPr>
              <w:t xml:space="preserve">Estimated annual average juvenile and adult fishing mortality for the WCPO obtained from </w:t>
            </w:r>
            <w:r>
              <w:rPr>
                <w:rFonts w:eastAsia="MS Mincho" w:cs="Times New Roman"/>
                <w:bCs/>
                <w:sz w:val="18"/>
                <w:szCs w:val="18"/>
                <w:lang w:val="en-US" w:eastAsia="ja-JP"/>
              </w:rPr>
              <w:t>the reference</w:t>
            </w:r>
            <w:r w:rsidRPr="00737053">
              <w:rPr>
                <w:rFonts w:eastAsia="MS Mincho" w:cs="Times New Roman"/>
                <w:bCs/>
                <w:sz w:val="18"/>
                <w:szCs w:val="18"/>
                <w:lang w:val="en-US" w:eastAsia="ja-JP"/>
              </w:rPr>
              <w:t xml:space="preserve"> case model.</w:t>
            </w:r>
          </w:p>
        </w:tc>
        <w:tc>
          <w:tcPr>
            <w:tcW w:w="4536" w:type="dxa"/>
          </w:tcPr>
          <w:p w:rsidR="00C63BA3" w:rsidRPr="00737053" w:rsidRDefault="00C63BA3" w:rsidP="001C5CB9">
            <w:pPr>
              <w:adjustRightInd w:val="0"/>
              <w:snapToGrid w:val="0"/>
              <w:jc w:val="both"/>
              <w:rPr>
                <w:rFonts w:eastAsia="Malgun Gothic" w:cs="Times New Roman"/>
                <w:b/>
                <w:bCs/>
                <w:sz w:val="18"/>
                <w:szCs w:val="18"/>
                <w:lang w:val="en-US" w:eastAsia="ko-KR"/>
              </w:rPr>
            </w:pPr>
            <w:r w:rsidRPr="00737053">
              <w:rPr>
                <w:rFonts w:eastAsia="MS Mincho" w:cs="Times New Roman"/>
                <w:b/>
                <w:bCs/>
                <w:sz w:val="18"/>
                <w:szCs w:val="18"/>
                <w:lang w:val="en-US" w:eastAsia="ja-JP"/>
              </w:rPr>
              <w:t xml:space="preserve">Figure SKJ4: </w:t>
            </w:r>
            <w:r w:rsidRPr="00737053">
              <w:rPr>
                <w:rFonts w:eastAsia="MS Mincho" w:cs="Times New Roman"/>
                <w:sz w:val="18"/>
                <w:szCs w:val="18"/>
                <w:lang w:val="en-US" w:eastAsia="ja-JP"/>
              </w:rPr>
              <w:t xml:space="preserve">Estimates of reduction in spawning potential due to fishing (fishery impact = </w:t>
            </w:r>
            <w:r w:rsidRPr="001B06D6">
              <w:rPr>
                <w:rFonts w:eastAsia="MS Mincho" w:cs="Times New Roman"/>
                <w:i/>
                <w:sz w:val="18"/>
                <w:szCs w:val="18"/>
                <w:lang w:val="en-US" w:eastAsia="ja-JP"/>
              </w:rPr>
              <w:t>1-SB</w:t>
            </w:r>
            <w:r w:rsidRPr="001B06D6">
              <w:rPr>
                <w:rFonts w:eastAsia="MS Mincho" w:cs="Times New Roman"/>
                <w:i/>
                <w:sz w:val="18"/>
                <w:szCs w:val="18"/>
                <w:vertAlign w:val="subscript"/>
                <w:lang w:val="en-US" w:eastAsia="ja-JP"/>
              </w:rPr>
              <w:t>t</w:t>
            </w:r>
            <w:r w:rsidRPr="001B06D6">
              <w:rPr>
                <w:rFonts w:eastAsia="MS Mincho" w:cs="Times New Roman"/>
                <w:i/>
                <w:sz w:val="18"/>
                <w:szCs w:val="18"/>
                <w:lang w:val="en-US" w:eastAsia="ja-JP"/>
              </w:rPr>
              <w:t>/SB</w:t>
            </w:r>
            <w:r w:rsidRPr="001B06D6">
              <w:rPr>
                <w:rFonts w:eastAsia="MS Mincho" w:cs="Times New Roman"/>
                <w:i/>
                <w:sz w:val="18"/>
                <w:szCs w:val="18"/>
                <w:vertAlign w:val="subscript"/>
                <w:lang w:val="en-US" w:eastAsia="ja-JP"/>
              </w:rPr>
              <w:t>t</w:t>
            </w:r>
            <w:r w:rsidRPr="001B06D6">
              <w:rPr>
                <w:rFonts w:eastAsia="Malgun Gothic" w:cs="Times New Roman"/>
                <w:i/>
                <w:sz w:val="18"/>
                <w:szCs w:val="18"/>
                <w:vertAlign w:val="subscript"/>
                <w:lang w:val="en-US" w:eastAsia="ko-KR"/>
              </w:rPr>
              <w:t>,</w:t>
            </w:r>
            <w:r w:rsidRPr="001B06D6">
              <w:rPr>
                <w:rFonts w:eastAsia="MS Mincho" w:cs="Times New Roman"/>
                <w:i/>
                <w:sz w:val="18"/>
                <w:szCs w:val="18"/>
                <w:vertAlign w:val="subscript"/>
                <w:lang w:val="en-US" w:eastAsia="ja-JP"/>
              </w:rPr>
              <w:t>F=0</w:t>
            </w:r>
            <w:r w:rsidRPr="00737053">
              <w:rPr>
                <w:rFonts w:eastAsia="MS Mincho" w:cs="Times New Roman"/>
                <w:sz w:val="18"/>
                <w:szCs w:val="18"/>
                <w:lang w:val="en-US" w:eastAsia="ja-JP"/>
              </w:rPr>
              <w:t xml:space="preserve">) </w:t>
            </w:r>
            <w:r>
              <w:rPr>
                <w:rFonts w:eastAsia="MS Mincho" w:cs="Times New Roman"/>
                <w:sz w:val="18"/>
                <w:szCs w:val="18"/>
                <w:lang w:val="en-US" w:eastAsia="ja-JP"/>
              </w:rPr>
              <w:t>for the reference</w:t>
            </w:r>
            <w:r w:rsidRPr="00737053">
              <w:rPr>
                <w:rFonts w:eastAsia="MS Mincho" w:cs="Times New Roman"/>
                <w:sz w:val="18"/>
                <w:szCs w:val="18"/>
                <w:lang w:val="en-US" w:eastAsia="ja-JP"/>
              </w:rPr>
              <w:t xml:space="preserve"> case model</w:t>
            </w:r>
            <w:r w:rsidR="001C5CB9">
              <w:rPr>
                <w:rFonts w:eastAsia="MS Mincho" w:cs="Times New Roman"/>
                <w:sz w:val="18"/>
                <w:szCs w:val="18"/>
                <w:lang w:val="en-US" w:eastAsia="ja-JP"/>
              </w:rPr>
              <w:t xml:space="preserve"> and six additional runs</w:t>
            </w:r>
            <w:r w:rsidRPr="00737053">
              <w:rPr>
                <w:rFonts w:eastAsia="MS Mincho" w:cs="Times New Roman"/>
                <w:sz w:val="18"/>
                <w:szCs w:val="18"/>
                <w:lang w:val="en-US" w:eastAsia="ja-JP"/>
              </w:rPr>
              <w:t xml:space="preserve">. </w:t>
            </w:r>
          </w:p>
        </w:tc>
      </w:tr>
      <w:tr w:rsidR="001C5CB9" w:rsidRPr="00737053" w:rsidTr="00D31337">
        <w:tc>
          <w:tcPr>
            <w:tcW w:w="4644" w:type="dxa"/>
          </w:tcPr>
          <w:p w:rsidR="00C63BA3" w:rsidRDefault="00AE24B8" w:rsidP="00D31337">
            <w:pPr>
              <w:adjustRightInd w:val="0"/>
              <w:snapToGrid w:val="0"/>
              <w:jc w:val="both"/>
              <w:rPr>
                <w:rFonts w:eastAsia="MS Mincho" w:cs="Times New Roman"/>
                <w:b/>
                <w:bCs/>
                <w:sz w:val="18"/>
                <w:szCs w:val="18"/>
                <w:lang w:val="en-US" w:eastAsia="ja-JP"/>
              </w:rPr>
            </w:pPr>
            <w:r w:rsidRPr="00AE24B8">
              <w:rPr>
                <w:rFonts w:eastAsia="MS Mincho" w:cs="Times New Roman"/>
                <w:b/>
                <w:bCs/>
                <w:noProof/>
                <w:sz w:val="18"/>
                <w:szCs w:val="18"/>
                <w:lang w:val="en-US"/>
              </w:rPr>
              <w:drawing>
                <wp:inline distT="0" distB="0" distL="0" distR="0">
                  <wp:extent cx="3080839" cy="3460750"/>
                  <wp:effectExtent l="0" t="0" r="5715" b="6350"/>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082062" cy="3462124"/>
                          </a:xfrm>
                          <a:prstGeom prst="rect">
                            <a:avLst/>
                          </a:prstGeom>
                          <a:noFill/>
                          <a:ln>
                            <a:noFill/>
                          </a:ln>
                        </pic:spPr>
                      </pic:pic>
                    </a:graphicData>
                  </a:graphic>
                </wp:inline>
              </w:drawing>
            </w:r>
          </w:p>
          <w:p w:rsidR="00C63BA3" w:rsidRDefault="00C63BA3" w:rsidP="00D31337">
            <w:pPr>
              <w:adjustRightInd w:val="0"/>
              <w:snapToGrid w:val="0"/>
              <w:jc w:val="both"/>
              <w:rPr>
                <w:rFonts w:eastAsia="MS Mincho" w:cs="Times New Roman"/>
                <w:b/>
                <w:bCs/>
                <w:sz w:val="18"/>
                <w:szCs w:val="18"/>
                <w:lang w:val="en-US" w:eastAsia="ja-JP"/>
              </w:rPr>
            </w:pPr>
          </w:p>
          <w:p w:rsidR="00C63BA3" w:rsidRPr="00737053" w:rsidRDefault="00AE24B8" w:rsidP="00D31337">
            <w:pPr>
              <w:adjustRightInd w:val="0"/>
              <w:snapToGrid w:val="0"/>
              <w:jc w:val="both"/>
              <w:rPr>
                <w:rFonts w:eastAsia="MS Mincho" w:cs="Times New Roman"/>
                <w:b/>
                <w:bCs/>
                <w:sz w:val="18"/>
                <w:szCs w:val="18"/>
                <w:lang w:val="en-US" w:eastAsia="ja-JP"/>
              </w:rPr>
            </w:pPr>
            <w:r>
              <w:rPr>
                <w:rFonts w:eastAsia="MS Mincho" w:cs="Times New Roman"/>
                <w:b/>
                <w:bCs/>
                <w:sz w:val="18"/>
                <w:szCs w:val="18"/>
                <w:lang w:val="en-US" w:eastAsia="ja-JP"/>
              </w:rPr>
              <w:t>(INSERT Figure 50 and 51</w:t>
            </w:r>
            <w:r w:rsidRPr="00AE24B8">
              <w:rPr>
                <w:rFonts w:eastAsia="MS Mincho" w:cs="Times New Roman"/>
                <w:b/>
                <w:bCs/>
                <w:sz w:val="18"/>
                <w:szCs w:val="18"/>
                <w:lang w:val="en-US" w:eastAsia="ja-JP"/>
              </w:rPr>
              <w:t xml:space="preserve"> FROM ASSESSMENT REPORT)</w:t>
            </w:r>
          </w:p>
        </w:tc>
        <w:tc>
          <w:tcPr>
            <w:tcW w:w="4536" w:type="dxa"/>
          </w:tcPr>
          <w:p w:rsidR="00C63BA3" w:rsidRPr="00737053" w:rsidRDefault="00AE24B8" w:rsidP="00D31337">
            <w:pPr>
              <w:adjustRightInd w:val="0"/>
              <w:snapToGrid w:val="0"/>
              <w:jc w:val="both"/>
              <w:rPr>
                <w:rFonts w:eastAsia="Batang" w:cs="Times New Roman"/>
                <w:b/>
                <w:bCs/>
                <w:sz w:val="18"/>
                <w:szCs w:val="18"/>
                <w:lang w:val="en-US"/>
              </w:rPr>
            </w:pPr>
            <w:r w:rsidRPr="00AE24B8">
              <w:rPr>
                <w:rFonts w:eastAsia="Batang" w:cs="Times New Roman"/>
                <w:b/>
                <w:bCs/>
                <w:noProof/>
                <w:sz w:val="18"/>
                <w:szCs w:val="18"/>
                <w:lang w:val="en-US"/>
              </w:rPr>
              <w:drawing>
                <wp:inline distT="0" distB="0" distL="0" distR="0">
                  <wp:extent cx="2736850" cy="2197100"/>
                  <wp:effectExtent l="0" t="0" r="6350" b="0"/>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42490" cy="2201628"/>
                          </a:xfrm>
                          <a:prstGeom prst="rect">
                            <a:avLst/>
                          </a:prstGeom>
                          <a:noFill/>
                          <a:ln>
                            <a:noFill/>
                          </a:ln>
                        </pic:spPr>
                      </pic:pic>
                    </a:graphicData>
                  </a:graphic>
                </wp:inline>
              </w:drawing>
            </w:r>
          </w:p>
        </w:tc>
      </w:tr>
      <w:tr w:rsidR="001C5CB9" w:rsidRPr="00737053" w:rsidTr="00D31337">
        <w:tc>
          <w:tcPr>
            <w:tcW w:w="4644" w:type="dxa"/>
          </w:tcPr>
          <w:p w:rsidR="00C63BA3" w:rsidRPr="00737053" w:rsidRDefault="00C63BA3" w:rsidP="00AE24B8">
            <w:pPr>
              <w:adjustRightInd w:val="0"/>
              <w:snapToGrid w:val="0"/>
              <w:jc w:val="both"/>
              <w:rPr>
                <w:rFonts w:eastAsia="MS Mincho" w:cs="Times New Roman"/>
                <w:b/>
                <w:bCs/>
                <w:sz w:val="18"/>
                <w:szCs w:val="18"/>
                <w:lang w:val="en-US" w:eastAsia="ja-JP"/>
              </w:rPr>
            </w:pPr>
            <w:r w:rsidRPr="00737053">
              <w:rPr>
                <w:rFonts w:eastAsia="Batang" w:cs="Times New Roman"/>
                <w:b/>
                <w:bCs/>
                <w:sz w:val="18"/>
                <w:szCs w:val="18"/>
                <w:lang w:val="en-US"/>
              </w:rPr>
              <w:t xml:space="preserve">Figure SKJ5: </w:t>
            </w:r>
            <w:r w:rsidR="00AE24B8">
              <w:rPr>
                <w:rFonts w:eastAsia="Batang" w:cs="Times New Roman"/>
                <w:bCs/>
                <w:sz w:val="18"/>
                <w:szCs w:val="18"/>
                <w:lang w:val="en-US"/>
              </w:rPr>
              <w:t xml:space="preserve">Majuro plots for each of the one off sensitivity models </w:t>
            </w:r>
            <w:r w:rsidR="00AE24B8" w:rsidRPr="00AE24B8">
              <w:rPr>
                <w:rFonts w:eastAsia="Batang" w:cs="Times New Roman"/>
                <w:bCs/>
                <w:sz w:val="18"/>
                <w:szCs w:val="18"/>
                <w:lang w:val="en-US"/>
              </w:rPr>
              <w:t>in stock status relative to SBF=0 (x-axis) and FMSY (y-axis). The red zone represents spawning potential levels lower than the agreed LRP, which is marked with the solid black line (0.2SBF=0). The orange region is for fishing mortality greater than FMSY (F=FMSY; marked with the black dashed line). The green line indicates the interium target reference point 50%SBF=0.</w:t>
            </w:r>
          </w:p>
        </w:tc>
        <w:tc>
          <w:tcPr>
            <w:tcW w:w="4536" w:type="dxa"/>
          </w:tcPr>
          <w:p w:rsidR="00C63BA3" w:rsidRPr="00737053" w:rsidRDefault="00C63BA3" w:rsidP="001C5CB9">
            <w:pPr>
              <w:adjustRightInd w:val="0"/>
              <w:snapToGrid w:val="0"/>
              <w:jc w:val="both"/>
              <w:rPr>
                <w:rFonts w:eastAsia="Batang" w:cs="Times New Roman"/>
                <w:b/>
                <w:bCs/>
                <w:sz w:val="18"/>
                <w:szCs w:val="18"/>
                <w:lang w:val="en-US"/>
              </w:rPr>
            </w:pPr>
            <w:r w:rsidRPr="00737053">
              <w:rPr>
                <w:rFonts w:eastAsia="Batang" w:cs="Times New Roman"/>
                <w:b/>
                <w:bCs/>
                <w:sz w:val="18"/>
                <w:szCs w:val="18"/>
                <w:lang w:val="en-US"/>
              </w:rPr>
              <w:t>F</w:t>
            </w:r>
            <w:r w:rsidR="001C5CB9">
              <w:rPr>
                <w:rFonts w:eastAsia="Batang" w:cs="Times New Roman"/>
                <w:b/>
                <w:bCs/>
                <w:sz w:val="18"/>
                <w:szCs w:val="18"/>
                <w:lang w:val="en-US"/>
              </w:rPr>
              <w:t>igure SKJ5(continue)</w:t>
            </w:r>
            <w:r w:rsidRPr="00737053">
              <w:rPr>
                <w:rFonts w:eastAsia="Batang" w:cs="Times New Roman"/>
                <w:b/>
                <w:bCs/>
                <w:sz w:val="18"/>
                <w:szCs w:val="18"/>
                <w:lang w:val="en-US"/>
              </w:rPr>
              <w:t xml:space="preserve">: </w:t>
            </w:r>
          </w:p>
        </w:tc>
      </w:tr>
    </w:tbl>
    <w:p w:rsidR="007F6CBD" w:rsidRPr="00C63BA3" w:rsidRDefault="007F6CBD" w:rsidP="00250B91">
      <w:pPr>
        <w:pStyle w:val="Best2"/>
        <w:numPr>
          <w:ilvl w:val="0"/>
          <w:numId w:val="0"/>
        </w:numPr>
        <w:adjustRightInd w:val="0"/>
        <w:snapToGrid w:val="0"/>
        <w:spacing w:after="0" w:line="240" w:lineRule="auto"/>
        <w:rPr>
          <w:rFonts w:eastAsia="MS Mincho"/>
        </w:rPr>
      </w:pPr>
    </w:p>
    <w:p w:rsidR="0027575A" w:rsidRPr="00C06D64" w:rsidRDefault="007F6CBD" w:rsidP="00A3563E">
      <w:r w:rsidRPr="007F6CBD">
        <w:t xml:space="preserve">Various information on the status of skipjack such as MSY and performance against reference points are provided in </w:t>
      </w:r>
      <w:r w:rsidRPr="00C06D64">
        <w:t xml:space="preserve">Table SKJ2 </w:t>
      </w:r>
      <w:r w:rsidRPr="00C06D64">
        <w:rPr>
          <w:highlight w:val="yellow"/>
        </w:rPr>
        <w:t>(INSERT TABLE 6 FROM THE ASSESSMENT)</w:t>
      </w:r>
      <w:r w:rsidRPr="00C06D64">
        <w:t>.</w:t>
      </w:r>
    </w:p>
    <w:p w:rsidR="00060401" w:rsidRDefault="0027575A" w:rsidP="00A3563E">
      <w:r w:rsidRPr="00C06D64">
        <w:rPr>
          <w:rFonts w:hint="eastAsia"/>
          <w:lang w:eastAsia="ja-JP"/>
        </w:rPr>
        <w:t xml:space="preserve">Table SKJ2  </w:t>
      </w:r>
      <w:r w:rsidRPr="00C06D64">
        <w:t>Estimates of management quantities for the selected stock assessment models. For the purpose of this assessment, “recent” is the average over the period 2011–2014 and “latest” is 2015.</w:t>
      </w:r>
      <w:r w:rsidR="007F6CBD">
        <w:br/>
      </w:r>
      <w:r w:rsidR="00282612">
        <w:rPr>
          <w:noProof/>
          <w:lang w:val="en-US"/>
        </w:rPr>
        <w:drawing>
          <wp:inline distT="0" distB="0" distL="0" distR="0" wp14:anchorId="0CD42F7C" wp14:editId="432E596D">
            <wp:extent cx="5831840" cy="1305560"/>
            <wp:effectExtent l="0" t="0" r="0" b="889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283099"/>
                    </a:xfrm>
                    <a:prstGeom prst="rect">
                      <a:avLst/>
                    </a:prstGeom>
                  </pic:spPr>
                </pic:pic>
              </a:graphicData>
            </a:graphic>
          </wp:inline>
        </w:drawing>
      </w:r>
    </w:p>
    <w:p w:rsidR="00282612" w:rsidRDefault="00282612" w:rsidP="0027575A">
      <w:r>
        <w:t xml:space="preserve">The estimated MSY ranged from 1,641,200 to 2,076,800 mt across the tested models. </w:t>
      </w:r>
    </w:p>
    <w:p w:rsidR="00282612" w:rsidRDefault="00282612" w:rsidP="005C648E">
      <w:r>
        <w:t>Across the tested models</w:t>
      </w:r>
      <w:r w:rsidRPr="0027575A">
        <w:rPr>
          <w:i/>
        </w:rPr>
        <w:t xml:space="preserve"> F</w:t>
      </w:r>
      <w:r w:rsidRPr="0027575A">
        <w:rPr>
          <w:i/>
          <w:vertAlign w:val="subscript"/>
        </w:rPr>
        <w:t>recent</w:t>
      </w:r>
      <w:r w:rsidRPr="0027575A">
        <w:rPr>
          <w:i/>
        </w:rPr>
        <w:t>/F</w:t>
      </w:r>
      <w:r w:rsidRPr="0027575A">
        <w:rPr>
          <w:i/>
          <w:vertAlign w:val="subscript"/>
        </w:rPr>
        <w:t>MSY</w:t>
      </w:r>
      <w:r>
        <w:t xml:space="preserve"> ranged from 0.45 to 0.62. This indicates that overfishing is not occurring for the WCPO skipjack tuna stock</w:t>
      </w:r>
      <w:r w:rsidR="005C648E">
        <w:t xml:space="preserve"> (Figure SKJ 5)</w:t>
      </w:r>
      <w:r>
        <w:t>.</w:t>
      </w:r>
    </w:p>
    <w:p w:rsidR="005F2FE1" w:rsidRDefault="0027575A" w:rsidP="005F2FE1">
      <w:r>
        <w:t xml:space="preserve"> The latest (2015</w:t>
      </w:r>
      <w:r w:rsidR="00282612">
        <w:t>) estimates of spawning biomass are above both the level that will support MSY (SB</w:t>
      </w:r>
      <w:r w:rsidR="00282612" w:rsidRPr="0027575A">
        <w:rPr>
          <w:vertAlign w:val="subscript"/>
        </w:rPr>
        <w:t>latest</w:t>
      </w:r>
      <w:r w:rsidR="00282612">
        <w:t>/SB</w:t>
      </w:r>
      <w:r w:rsidR="00282612" w:rsidRPr="0027575A">
        <w:rPr>
          <w:vertAlign w:val="subscript"/>
        </w:rPr>
        <w:t>MSY</w:t>
      </w:r>
      <w:r>
        <w:t xml:space="preserve"> ranges from 1.81 to 2.9</w:t>
      </w:r>
      <w:r w:rsidR="00282612">
        <w:t>3 across the various models) and the adopted LRP of 0.2SB</w:t>
      </w:r>
      <w:r w:rsidR="00282612" w:rsidRPr="0027575A">
        <w:rPr>
          <w:vertAlign w:val="subscript"/>
        </w:rPr>
        <w:t xml:space="preserve">F=0 </w:t>
      </w:r>
      <w:r w:rsidR="00282612">
        <w:t>(SB</w:t>
      </w:r>
      <w:r w:rsidR="00282612" w:rsidRPr="0027575A">
        <w:rPr>
          <w:vertAlign w:val="subscript"/>
        </w:rPr>
        <w:t>latest</w:t>
      </w:r>
      <w:r w:rsidR="00282612">
        <w:t>/SB</w:t>
      </w:r>
      <w:r w:rsidR="00282612" w:rsidRPr="0027575A">
        <w:rPr>
          <w:vertAlign w:val="subscript"/>
        </w:rPr>
        <w:t>F=0</w:t>
      </w:r>
      <w:r w:rsidR="00282612">
        <w:t xml:space="preserve"> ranges from 0.41 to 0.65), suggesting that the stock is not overfished relative to its LRP. However, SC12 draws the attention of WCPFC that some models indicate that the latest biomass is below the newly adopted TRP of 0.5SB</w:t>
      </w:r>
      <w:r w:rsidR="00282612" w:rsidRPr="0027575A">
        <w:rPr>
          <w:vertAlign w:val="subscript"/>
        </w:rPr>
        <w:t>F=0</w:t>
      </w:r>
      <w:r w:rsidR="001C5CB9">
        <w:rPr>
          <w:sz w:val="24"/>
        </w:rPr>
        <w:t xml:space="preserve"> </w:t>
      </w:r>
      <w:r w:rsidR="00282612">
        <w:t xml:space="preserve">. </w:t>
      </w:r>
    </w:p>
    <w:p w:rsidR="005F2FE1" w:rsidRDefault="00282612" w:rsidP="005F2FE1">
      <w:r>
        <w:br/>
      </w:r>
      <w:r w:rsidR="005F2FE1">
        <w:t xml:space="preserve">SC12 also draws the attention of WCPFC to the fact that the current method of calculating the TRP is based on the most recent 10 year recruitment information. However, the latest SSB, which is used to evaluate the current status against the TRP, for species reaching maturity relatively quick such as skipjack will increase more rapidly than the TRP, thus potentially providing more optimistic status when recruitment is in an increasing trend, as currently observed in the case of skipjack. </w:t>
      </w:r>
    </w:p>
    <w:p w:rsidR="00282612" w:rsidRDefault="005F2FE1" w:rsidP="005F2FE1">
      <w:r>
        <w:t>In order to provide more specific advice to WCPFC, SC12 requests the scientific service provider (i) to conduct assessment based on the alternative area definition suggested by Kiyofuji et al. (SA-IP09) and (ii) to prepare likelihood profile analysis for both the current and alternative assessment to SC13 so that SC13 can duly consider the selection of base case. SC12 further requests the scientific service provider for the next full stock assessment to (i) evaluate the results of multiple models such as SEAPODYM or Stock Synthesis, (ii) test different growth models such as suggested by Ochi et al. (SA-IP08), (iii) test alternative natural mortalities such as constant one or one that decreases as aging, and (iv) evaluate appropriate method to weigh tag information. In doing so, SC12 requests the scientific service provider to further promote the inclusiveness of the assessment process of member country scientists by allowing greater participation and frequent information sharing in the course of the development of assessment.</w:t>
      </w:r>
    </w:p>
    <w:p w:rsidR="00060401" w:rsidRDefault="002C796D" w:rsidP="002C796D">
      <w:r w:rsidRPr="002C796D">
        <w:t>SC12 further advises the WCPFC that there is continuous concern that high catches in the equatorial region could result in range contractions of the stocks, thus reducing skipjack tuna availability to high latitude fisheries. SC12 recommends that further research on range contraction of skipjack tuna be conducted in the framework of Project 67.</w:t>
      </w:r>
    </w:p>
    <w:p w:rsidR="00060401" w:rsidRDefault="00060401" w:rsidP="00060401">
      <w:pPr>
        <w:pStyle w:val="Best2"/>
        <w:numPr>
          <w:ilvl w:val="0"/>
          <w:numId w:val="0"/>
        </w:numPr>
        <w:adjustRightInd w:val="0"/>
        <w:snapToGrid w:val="0"/>
        <w:spacing w:after="0" w:line="240" w:lineRule="auto"/>
        <w:rPr>
          <w:rFonts w:asciiTheme="minorHAnsi" w:hAnsiTheme="minorHAnsi" w:cstheme="minorBidi"/>
        </w:rPr>
      </w:pPr>
    </w:p>
    <w:p w:rsidR="005F2FE1" w:rsidRDefault="005F2FE1" w:rsidP="00060401">
      <w:pPr>
        <w:pStyle w:val="Best2"/>
        <w:numPr>
          <w:ilvl w:val="0"/>
          <w:numId w:val="0"/>
        </w:numPr>
        <w:adjustRightInd w:val="0"/>
        <w:snapToGrid w:val="0"/>
        <w:spacing w:after="0" w:line="240" w:lineRule="auto"/>
        <w:rPr>
          <w:rFonts w:asciiTheme="minorHAnsi" w:hAnsiTheme="minorHAnsi" w:cstheme="minorBidi"/>
        </w:rPr>
      </w:pPr>
    </w:p>
    <w:p w:rsidR="005F2FE1" w:rsidRDefault="005F2FE1" w:rsidP="00060401">
      <w:pPr>
        <w:pStyle w:val="Best2"/>
        <w:numPr>
          <w:ilvl w:val="0"/>
          <w:numId w:val="0"/>
        </w:numPr>
        <w:adjustRightInd w:val="0"/>
        <w:snapToGrid w:val="0"/>
        <w:spacing w:after="0" w:line="240" w:lineRule="auto"/>
        <w:rPr>
          <w:rFonts w:asciiTheme="minorHAnsi" w:hAnsiTheme="minorHAnsi" w:cstheme="minorBidi"/>
        </w:rPr>
      </w:pPr>
    </w:p>
    <w:p w:rsidR="008F30B1" w:rsidRDefault="008F30B1">
      <w:r>
        <w:br w:type="page"/>
      </w:r>
    </w:p>
    <w:p w:rsidR="00287504" w:rsidRPr="00287504" w:rsidRDefault="00287504" w:rsidP="00287504">
      <w:pPr>
        <w:pStyle w:val="Best2"/>
        <w:numPr>
          <w:ilvl w:val="0"/>
          <w:numId w:val="0"/>
        </w:numPr>
        <w:adjustRightInd w:val="0"/>
        <w:snapToGrid w:val="0"/>
        <w:spacing w:after="0" w:line="240" w:lineRule="auto"/>
        <w:rPr>
          <w:rFonts w:asciiTheme="minorHAnsi" w:eastAsia="MS Mincho" w:hAnsiTheme="minorHAnsi"/>
          <w:b/>
          <w:color w:val="000000"/>
          <w:lang w:val="en-US" w:eastAsia="ja-JP"/>
        </w:rPr>
      </w:pPr>
      <w:r w:rsidRPr="00287504">
        <w:rPr>
          <w:rFonts w:asciiTheme="minorHAnsi" w:hAnsiTheme="minorHAnsi" w:cstheme="minorBidi"/>
          <w:b/>
        </w:rPr>
        <w:t>management advice and implications</w:t>
      </w:r>
      <w:r w:rsidR="005F2FE1">
        <w:rPr>
          <w:rFonts w:asciiTheme="minorHAnsi" w:hAnsiTheme="minorHAnsi" w:cstheme="minorBidi" w:hint="eastAsia"/>
          <w:b/>
          <w:lang w:eastAsia="ja-JP"/>
        </w:rPr>
        <w:t xml:space="preserve">　　</w:t>
      </w:r>
    </w:p>
    <w:p w:rsidR="00DD1F50" w:rsidRPr="00287504" w:rsidRDefault="00DD1F50" w:rsidP="00DD1F50">
      <w:pPr>
        <w:pStyle w:val="Best2"/>
        <w:numPr>
          <w:ilvl w:val="0"/>
          <w:numId w:val="0"/>
        </w:numPr>
        <w:adjustRightInd w:val="0"/>
        <w:snapToGrid w:val="0"/>
        <w:spacing w:after="0" w:line="240" w:lineRule="auto"/>
        <w:ind w:left="720"/>
        <w:rPr>
          <w:rFonts w:asciiTheme="minorHAnsi" w:eastAsia="MS Mincho" w:hAnsiTheme="minorHAnsi"/>
          <w:lang w:val="en-US"/>
        </w:rPr>
      </w:pPr>
    </w:p>
    <w:p w:rsidR="006738F2" w:rsidRDefault="0035466C" w:rsidP="008F30B1">
      <w:pPr>
        <w:pStyle w:val="Best2"/>
        <w:numPr>
          <w:ilvl w:val="0"/>
          <w:numId w:val="9"/>
        </w:numPr>
        <w:adjustRightInd w:val="0"/>
        <w:snapToGrid w:val="0"/>
        <w:spacing w:after="0" w:line="240" w:lineRule="auto"/>
        <w:jc w:val="left"/>
        <w:rPr>
          <w:rFonts w:asciiTheme="minorHAnsi" w:eastAsia="MS Mincho" w:hAnsiTheme="minorHAnsi"/>
          <w:lang w:val="en-US"/>
        </w:rPr>
      </w:pPr>
      <w:r w:rsidRPr="0035466C">
        <w:rPr>
          <w:rFonts w:asciiTheme="minorHAnsi" w:eastAsia="MS Mincho" w:hAnsiTheme="minorHAnsi"/>
          <w:lang w:val="en-US"/>
        </w:rPr>
        <w:t>The assessment continues to show that the stock is currently moderately expl</w:t>
      </w:r>
      <w:r w:rsidR="00250B91">
        <w:rPr>
          <w:rFonts w:asciiTheme="minorHAnsi" w:eastAsia="MS Mincho" w:hAnsiTheme="minorHAnsi"/>
          <w:lang w:val="en-US"/>
        </w:rPr>
        <w:t xml:space="preserve">oited </w:t>
      </w:r>
      <w:r w:rsidR="00DF22A2">
        <w:rPr>
          <w:rFonts w:asciiTheme="minorHAnsi" w:eastAsia="MS Mincho" w:hAnsiTheme="minorHAnsi"/>
          <w:lang w:val="en-US"/>
        </w:rPr>
        <w:t>and fishing mortality level is</w:t>
      </w:r>
      <w:r w:rsidRPr="0035466C">
        <w:rPr>
          <w:rFonts w:asciiTheme="minorHAnsi" w:eastAsia="MS Mincho" w:hAnsiTheme="minorHAnsi"/>
          <w:lang w:val="en-US"/>
        </w:rPr>
        <w:t xml:space="preserve"> sustainable. </w:t>
      </w:r>
      <w:r w:rsidR="008F30B1" w:rsidRPr="008F30B1">
        <w:rPr>
          <w:rFonts w:asciiTheme="minorHAnsi" w:eastAsia="MS Mincho" w:hAnsiTheme="minorHAnsi"/>
          <w:lang w:val="en-US"/>
        </w:rPr>
        <w:t>However, the recent catches are near the estimated MSY by various models or are above it in some cases and some models also indicate that the stock is currently under the TRP.</w:t>
      </w:r>
    </w:p>
    <w:p w:rsidR="006738F2" w:rsidRDefault="006738F2" w:rsidP="006738F2">
      <w:pPr>
        <w:pStyle w:val="Best2"/>
        <w:numPr>
          <w:ilvl w:val="0"/>
          <w:numId w:val="0"/>
        </w:numPr>
        <w:adjustRightInd w:val="0"/>
        <w:snapToGrid w:val="0"/>
        <w:spacing w:after="0" w:line="240" w:lineRule="auto"/>
        <w:ind w:left="720"/>
        <w:jc w:val="left"/>
        <w:rPr>
          <w:rFonts w:asciiTheme="minorHAnsi" w:eastAsia="MS Mincho" w:hAnsiTheme="minorHAnsi"/>
          <w:lang w:val="en-US"/>
        </w:rPr>
      </w:pPr>
    </w:p>
    <w:p w:rsidR="0035466C" w:rsidRPr="00F013B0" w:rsidRDefault="006738F2" w:rsidP="006738F2">
      <w:pPr>
        <w:pStyle w:val="Best2"/>
        <w:numPr>
          <w:ilvl w:val="0"/>
          <w:numId w:val="9"/>
        </w:numPr>
        <w:adjustRightInd w:val="0"/>
        <w:snapToGrid w:val="0"/>
        <w:spacing w:after="0" w:line="240" w:lineRule="auto"/>
        <w:jc w:val="left"/>
        <w:rPr>
          <w:rFonts w:asciiTheme="minorHAnsi" w:eastAsia="MS Mincho" w:hAnsiTheme="minorHAnsi"/>
          <w:lang w:val="en-US"/>
        </w:rPr>
      </w:pPr>
      <w:r w:rsidRPr="006738F2">
        <w:rPr>
          <w:rFonts w:asciiTheme="minorHAnsi" w:eastAsia="MS Mincho" w:hAnsiTheme="minorHAnsi"/>
          <w:lang w:val="en-US"/>
        </w:rPr>
        <w:t>Fishing is having a significant impact on stock size and can be expected to affect catch rates. The stock distribution is also influenced by changes in oceanographic conditions associated with El Niño and La Niña events, which impact on catch rates and stock size. Additional purse-seine effort will yield only modest gains in long-term skipjack tuna catches and may result in a corresponding increase in fishing mortality for bigeye and yellowfin tunas. The management of total effort in the WCPO should recognize this.</w:t>
      </w:r>
      <w:r w:rsidR="0035466C" w:rsidRPr="00F013B0">
        <w:rPr>
          <w:rFonts w:asciiTheme="minorHAnsi" w:eastAsia="MS Mincho" w:hAnsiTheme="minorHAnsi"/>
          <w:lang w:val="en-US"/>
        </w:rPr>
        <w:br/>
      </w:r>
    </w:p>
    <w:p w:rsidR="005A67EE" w:rsidRPr="002C796D" w:rsidRDefault="00C63BA3" w:rsidP="00C63BA3">
      <w:pPr>
        <w:pStyle w:val="Best2"/>
        <w:numPr>
          <w:ilvl w:val="0"/>
          <w:numId w:val="9"/>
        </w:numPr>
        <w:adjustRightInd w:val="0"/>
        <w:snapToGrid w:val="0"/>
        <w:spacing w:after="0" w:line="240" w:lineRule="auto"/>
        <w:jc w:val="left"/>
        <w:rPr>
          <w:rFonts w:asciiTheme="minorHAnsi" w:eastAsia="MS Mincho" w:hAnsiTheme="minorHAnsi"/>
          <w:lang w:val="en-US"/>
        </w:rPr>
      </w:pPr>
      <w:r w:rsidRPr="00C63BA3">
        <w:rPr>
          <w:rFonts w:asciiTheme="minorHAnsi" w:eastAsia="MS Mincho" w:hAnsiTheme="minorHAnsi"/>
          <w:lang w:val="en-US"/>
        </w:rPr>
        <w:t>The spawning biomas</w:t>
      </w:r>
      <w:r>
        <w:rPr>
          <w:rFonts w:asciiTheme="minorHAnsi" w:eastAsia="MS Mincho" w:hAnsiTheme="minorHAnsi"/>
          <w:lang w:val="en-US"/>
        </w:rPr>
        <w:t xml:space="preserve">s is now around </w:t>
      </w:r>
      <w:r w:rsidRPr="00C63BA3">
        <w:rPr>
          <w:rFonts w:asciiTheme="minorHAnsi" w:eastAsia="MS Mincho" w:hAnsiTheme="minorHAnsi"/>
          <w:lang w:val="en-US"/>
        </w:rPr>
        <w:t>the adopted TRP and SC12 recommends that the Commission take action to avoid further increase of</w:t>
      </w:r>
      <w:r>
        <w:rPr>
          <w:rFonts w:asciiTheme="minorHAnsi" w:eastAsia="MS Mincho" w:hAnsiTheme="minorHAnsi" w:hint="eastAsia"/>
          <w:lang w:val="en-US" w:eastAsia="ja-JP"/>
        </w:rPr>
        <w:t xml:space="preserve"> </w:t>
      </w:r>
      <w:r w:rsidRPr="00C63BA3">
        <w:rPr>
          <w:rFonts w:asciiTheme="minorHAnsi" w:eastAsia="MS Mincho" w:hAnsiTheme="minorHAnsi"/>
          <w:lang w:val="en-US"/>
        </w:rPr>
        <w:t>fishing mortality to keep the skipjack tuna stock around TRP and advocates for the adoption of harvest control rules based on the information provided.</w:t>
      </w:r>
    </w:p>
    <w:p w:rsidR="005A67EE" w:rsidRDefault="005A67EE" w:rsidP="00E00509">
      <w:pPr>
        <w:pStyle w:val="Best2"/>
        <w:numPr>
          <w:ilvl w:val="0"/>
          <w:numId w:val="0"/>
        </w:numPr>
        <w:adjustRightInd w:val="0"/>
        <w:snapToGrid w:val="0"/>
        <w:spacing w:after="0" w:line="240" w:lineRule="auto"/>
        <w:ind w:left="360" w:hanging="360"/>
        <w:rPr>
          <w:rFonts w:asciiTheme="minorHAnsi" w:eastAsia="MS Mincho" w:hAnsiTheme="minorHAnsi"/>
          <w:lang w:val="en-US"/>
        </w:rPr>
      </w:pPr>
    </w:p>
    <w:p w:rsidR="003D1A25" w:rsidRPr="00C63BA3" w:rsidRDefault="003D1A25" w:rsidP="00C63BA3">
      <w:pPr>
        <w:pStyle w:val="Best2"/>
        <w:numPr>
          <w:ilvl w:val="0"/>
          <w:numId w:val="0"/>
        </w:numPr>
        <w:adjustRightInd w:val="0"/>
        <w:snapToGrid w:val="0"/>
        <w:spacing w:after="0" w:line="240" w:lineRule="auto"/>
        <w:rPr>
          <w:rFonts w:ascii="Calibri" w:eastAsia="MS Mincho" w:hAnsi="Calibri"/>
          <w:color w:val="000000"/>
          <w:lang w:val="en-US"/>
        </w:rPr>
      </w:pPr>
    </w:p>
    <w:sectPr w:rsidR="003D1A25" w:rsidRPr="00C63BA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C2F2D" w:rsidRDefault="00BC2F2D" w:rsidP="00F013B0">
      <w:pPr>
        <w:spacing w:after="0" w:line="240" w:lineRule="auto"/>
      </w:pPr>
      <w:r>
        <w:separator/>
      </w:r>
    </w:p>
  </w:endnote>
  <w:endnote w:type="continuationSeparator" w:id="0">
    <w:p w:rsidR="00BC2F2D" w:rsidRDefault="00BC2F2D" w:rsidP="00F013B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auto"/>
    <w:notTrueType/>
    <w:pitch w:val="fixed"/>
    <w:sig w:usb0="00000001" w:usb1="09060000" w:usb2="00000010" w:usb3="00000000" w:csb0="00080000" w:csb1="00000000"/>
  </w:font>
  <w:font w:name="Malgun Gothic">
    <w:panose1 w:val="020B0503020000020004"/>
    <w:charset w:val="81"/>
    <w:family w:val="swiss"/>
    <w:pitch w:val="variable"/>
    <w:sig w:usb0="9000002F" w:usb1="29D77CFB" w:usb2="00000012" w:usb3="00000000" w:csb0="0008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C2F2D" w:rsidRDefault="00BC2F2D" w:rsidP="00F013B0">
      <w:pPr>
        <w:spacing w:after="0" w:line="240" w:lineRule="auto"/>
      </w:pPr>
      <w:r>
        <w:separator/>
      </w:r>
    </w:p>
  </w:footnote>
  <w:footnote w:type="continuationSeparator" w:id="0">
    <w:p w:rsidR="00BC2F2D" w:rsidRDefault="00BC2F2D" w:rsidP="00F013B0">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5D2A70"/>
    <w:multiLevelType w:val="hybridMultilevel"/>
    <w:tmpl w:val="F746F19A"/>
    <w:lvl w:ilvl="0" w:tplc="0C090019">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
    <w:nsid w:val="10BE060A"/>
    <w:multiLevelType w:val="hybridMultilevel"/>
    <w:tmpl w:val="ABF0B4A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nsid w:val="159D5292"/>
    <w:multiLevelType w:val="hybridMultilevel"/>
    <w:tmpl w:val="C488482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nsid w:val="275E75DF"/>
    <w:multiLevelType w:val="hybridMultilevel"/>
    <w:tmpl w:val="7CC8A54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nsid w:val="299E3CF5"/>
    <w:multiLevelType w:val="hybridMultilevel"/>
    <w:tmpl w:val="CFF217C0"/>
    <w:lvl w:ilvl="0" w:tplc="D198317C">
      <w:start w:val="3"/>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nsid w:val="34044188"/>
    <w:multiLevelType w:val="hybridMultilevel"/>
    <w:tmpl w:val="751646E0"/>
    <w:lvl w:ilvl="0" w:tplc="9754EFC2">
      <w:start w:val="2"/>
      <w:numFmt w:val="decimal"/>
      <w:lvlText w:val="%1."/>
      <w:lvlJc w:val="left"/>
      <w:pPr>
        <w:ind w:left="360" w:hanging="360"/>
      </w:pPr>
      <w:rPr>
        <w:rFonts w:eastAsia="MS Mincho" w:cs="Times New Roman"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nsid w:val="38BF4444"/>
    <w:multiLevelType w:val="hybridMultilevel"/>
    <w:tmpl w:val="600E977C"/>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7">
    <w:nsid w:val="444E18A9"/>
    <w:multiLevelType w:val="hybridMultilevel"/>
    <w:tmpl w:val="6F7A1616"/>
    <w:lvl w:ilvl="0" w:tplc="0C090001">
      <w:start w:val="1"/>
      <w:numFmt w:val="bullet"/>
      <w:lvlText w:val=""/>
      <w:lvlJc w:val="left"/>
      <w:pPr>
        <w:ind w:left="360" w:hanging="360"/>
      </w:pPr>
      <w:rPr>
        <w:rFonts w:ascii="Symbol" w:hAnsi="Symbol" w:hint="default"/>
      </w:rPr>
    </w:lvl>
    <w:lvl w:ilvl="1" w:tplc="0C090019">
      <w:start w:val="1"/>
      <w:numFmt w:val="lowerLetter"/>
      <w:lvlText w:val="%2."/>
      <w:lvlJc w:val="left"/>
      <w:pPr>
        <w:ind w:left="720" w:hanging="360"/>
      </w:pPr>
    </w:lvl>
    <w:lvl w:ilvl="2" w:tplc="0C09001B">
      <w:start w:val="1"/>
      <w:numFmt w:val="lowerRoman"/>
      <w:lvlText w:val="%3."/>
      <w:lvlJc w:val="right"/>
      <w:pPr>
        <w:ind w:left="1440" w:hanging="180"/>
      </w:pPr>
    </w:lvl>
    <w:lvl w:ilvl="3" w:tplc="0C09000F">
      <w:start w:val="1"/>
      <w:numFmt w:val="decimal"/>
      <w:lvlText w:val="%4."/>
      <w:lvlJc w:val="left"/>
      <w:pPr>
        <w:ind w:left="2160" w:hanging="360"/>
      </w:pPr>
    </w:lvl>
    <w:lvl w:ilvl="4" w:tplc="0C090019">
      <w:start w:val="1"/>
      <w:numFmt w:val="lowerLetter"/>
      <w:lvlText w:val="%5."/>
      <w:lvlJc w:val="left"/>
      <w:pPr>
        <w:ind w:left="2880" w:hanging="360"/>
      </w:pPr>
    </w:lvl>
    <w:lvl w:ilvl="5" w:tplc="0C09001B">
      <w:start w:val="1"/>
      <w:numFmt w:val="lowerRoman"/>
      <w:lvlText w:val="%6."/>
      <w:lvlJc w:val="right"/>
      <w:pPr>
        <w:ind w:left="3600" w:hanging="180"/>
      </w:pPr>
    </w:lvl>
    <w:lvl w:ilvl="6" w:tplc="0C09000F">
      <w:start w:val="1"/>
      <w:numFmt w:val="decimal"/>
      <w:lvlText w:val="%7."/>
      <w:lvlJc w:val="left"/>
      <w:pPr>
        <w:ind w:left="4320" w:hanging="360"/>
      </w:pPr>
    </w:lvl>
    <w:lvl w:ilvl="7" w:tplc="0C090019">
      <w:start w:val="1"/>
      <w:numFmt w:val="lowerLetter"/>
      <w:lvlText w:val="%8."/>
      <w:lvlJc w:val="left"/>
      <w:pPr>
        <w:ind w:left="5040" w:hanging="360"/>
      </w:pPr>
    </w:lvl>
    <w:lvl w:ilvl="8" w:tplc="0C09001B">
      <w:start w:val="1"/>
      <w:numFmt w:val="lowerRoman"/>
      <w:lvlText w:val="%9."/>
      <w:lvlJc w:val="right"/>
      <w:pPr>
        <w:ind w:left="5760" w:hanging="180"/>
      </w:pPr>
    </w:lvl>
  </w:abstractNum>
  <w:abstractNum w:abstractNumId="8">
    <w:nsid w:val="445D58C0"/>
    <w:multiLevelType w:val="hybridMultilevel"/>
    <w:tmpl w:val="C1405ADA"/>
    <w:lvl w:ilvl="0" w:tplc="DF1E1408">
      <w:start w:val="1"/>
      <w:numFmt w:val="decimal"/>
      <w:pStyle w:val="Best2"/>
      <w:lvlText w:val="%1."/>
      <w:lvlJc w:val="left"/>
      <w:pPr>
        <w:ind w:left="360" w:hanging="360"/>
      </w:pPr>
    </w:lvl>
    <w:lvl w:ilvl="1" w:tplc="0C090019">
      <w:start w:val="1"/>
      <w:numFmt w:val="lowerLetter"/>
      <w:lvlText w:val="%2."/>
      <w:lvlJc w:val="left"/>
      <w:pPr>
        <w:ind w:left="720" w:hanging="360"/>
      </w:pPr>
    </w:lvl>
    <w:lvl w:ilvl="2" w:tplc="0C09001B">
      <w:start w:val="1"/>
      <w:numFmt w:val="lowerRoman"/>
      <w:lvlText w:val="%3."/>
      <w:lvlJc w:val="right"/>
      <w:pPr>
        <w:ind w:left="1440" w:hanging="180"/>
      </w:pPr>
    </w:lvl>
    <w:lvl w:ilvl="3" w:tplc="0C09000F">
      <w:start w:val="1"/>
      <w:numFmt w:val="decimal"/>
      <w:lvlText w:val="%4."/>
      <w:lvlJc w:val="left"/>
      <w:pPr>
        <w:ind w:left="2160" w:hanging="360"/>
      </w:pPr>
    </w:lvl>
    <w:lvl w:ilvl="4" w:tplc="0C090019">
      <w:start w:val="1"/>
      <w:numFmt w:val="lowerLetter"/>
      <w:lvlText w:val="%5."/>
      <w:lvlJc w:val="left"/>
      <w:pPr>
        <w:ind w:left="2880" w:hanging="360"/>
      </w:pPr>
    </w:lvl>
    <w:lvl w:ilvl="5" w:tplc="0C09001B">
      <w:start w:val="1"/>
      <w:numFmt w:val="lowerRoman"/>
      <w:lvlText w:val="%6."/>
      <w:lvlJc w:val="right"/>
      <w:pPr>
        <w:ind w:left="3600" w:hanging="180"/>
      </w:pPr>
    </w:lvl>
    <w:lvl w:ilvl="6" w:tplc="0C09000F">
      <w:start w:val="1"/>
      <w:numFmt w:val="decimal"/>
      <w:lvlText w:val="%7."/>
      <w:lvlJc w:val="left"/>
      <w:pPr>
        <w:ind w:left="4320" w:hanging="360"/>
      </w:pPr>
    </w:lvl>
    <w:lvl w:ilvl="7" w:tplc="0C090019">
      <w:start w:val="1"/>
      <w:numFmt w:val="lowerLetter"/>
      <w:lvlText w:val="%8."/>
      <w:lvlJc w:val="left"/>
      <w:pPr>
        <w:ind w:left="5040" w:hanging="360"/>
      </w:pPr>
    </w:lvl>
    <w:lvl w:ilvl="8" w:tplc="0C09001B">
      <w:start w:val="1"/>
      <w:numFmt w:val="lowerRoman"/>
      <w:lvlText w:val="%9."/>
      <w:lvlJc w:val="right"/>
      <w:pPr>
        <w:ind w:left="5760" w:hanging="180"/>
      </w:pPr>
    </w:lvl>
  </w:abstractNum>
  <w:abstractNum w:abstractNumId="9">
    <w:nsid w:val="52491482"/>
    <w:multiLevelType w:val="hybridMultilevel"/>
    <w:tmpl w:val="CC706E5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nsid w:val="5F8D7AC7"/>
    <w:multiLevelType w:val="hybridMultilevel"/>
    <w:tmpl w:val="04E87DE6"/>
    <w:lvl w:ilvl="0" w:tplc="49629E80">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0"/>
  </w:num>
  <w:num w:numId="2">
    <w:abstractNumId w:val="3"/>
  </w:num>
  <w:num w:numId="3">
    <w:abstractNumId w:val="6"/>
  </w:num>
  <w:num w:numId="4">
    <w:abstractNumId w:val="9"/>
  </w:num>
  <w:num w:numId="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
  </w:num>
  <w:num w:numId="7">
    <w:abstractNumId w:val="8"/>
  </w:num>
  <w:num w:numId="8">
    <w:abstractNumId w:val="7"/>
  </w:num>
  <w:num w:numId="9">
    <w:abstractNumId w:val="1"/>
  </w:num>
  <w:num w:numId="10">
    <w:abstractNumId w:val="10"/>
  </w:num>
  <w:num w:numId="11">
    <w:abstractNumId w:val="5"/>
  </w:num>
  <w:num w:numId="1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defaultTabStop w:val="720"/>
  <w:characterSpacingControl w:val="doNotCompress"/>
  <w:hdrShapeDefaults>
    <o:shapedefaults v:ext="edit" spidmax="2049">
      <v:textbox inset="5.85pt,.7pt,5.85pt,.7pt"/>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366C0"/>
    <w:rsid w:val="0003694D"/>
    <w:rsid w:val="00060401"/>
    <w:rsid w:val="00070DE8"/>
    <w:rsid w:val="00162B34"/>
    <w:rsid w:val="00181F4C"/>
    <w:rsid w:val="001A4CE4"/>
    <w:rsid w:val="001C5CB9"/>
    <w:rsid w:val="001E0A94"/>
    <w:rsid w:val="001F07B5"/>
    <w:rsid w:val="00225C84"/>
    <w:rsid w:val="0023344C"/>
    <w:rsid w:val="00235D59"/>
    <w:rsid w:val="00250B91"/>
    <w:rsid w:val="0027575A"/>
    <w:rsid w:val="00282612"/>
    <w:rsid w:val="00287504"/>
    <w:rsid w:val="002B5B09"/>
    <w:rsid w:val="002C796D"/>
    <w:rsid w:val="002D5A2B"/>
    <w:rsid w:val="002E4C10"/>
    <w:rsid w:val="0035466C"/>
    <w:rsid w:val="00366741"/>
    <w:rsid w:val="003D1A25"/>
    <w:rsid w:val="00474719"/>
    <w:rsid w:val="004D4581"/>
    <w:rsid w:val="00501E80"/>
    <w:rsid w:val="005058D8"/>
    <w:rsid w:val="005726FF"/>
    <w:rsid w:val="005805FA"/>
    <w:rsid w:val="005A67EE"/>
    <w:rsid w:val="005A7382"/>
    <w:rsid w:val="005C648E"/>
    <w:rsid w:val="005F2FE1"/>
    <w:rsid w:val="00613DBA"/>
    <w:rsid w:val="00615634"/>
    <w:rsid w:val="0062079C"/>
    <w:rsid w:val="006227DA"/>
    <w:rsid w:val="006738F2"/>
    <w:rsid w:val="007618EF"/>
    <w:rsid w:val="007B6250"/>
    <w:rsid w:val="007E0EDE"/>
    <w:rsid w:val="007F6CBD"/>
    <w:rsid w:val="008402C4"/>
    <w:rsid w:val="008F008F"/>
    <w:rsid w:val="008F30B1"/>
    <w:rsid w:val="009546DB"/>
    <w:rsid w:val="009A57C2"/>
    <w:rsid w:val="009E31E4"/>
    <w:rsid w:val="00A348E8"/>
    <w:rsid w:val="00A3563E"/>
    <w:rsid w:val="00AE24B8"/>
    <w:rsid w:val="00BA2B08"/>
    <w:rsid w:val="00BC2F2D"/>
    <w:rsid w:val="00BF094D"/>
    <w:rsid w:val="00C04F23"/>
    <w:rsid w:val="00C06D64"/>
    <w:rsid w:val="00C51655"/>
    <w:rsid w:val="00C63BA3"/>
    <w:rsid w:val="00C83E11"/>
    <w:rsid w:val="00CA0E34"/>
    <w:rsid w:val="00DD1F50"/>
    <w:rsid w:val="00DF1D87"/>
    <w:rsid w:val="00DF22A2"/>
    <w:rsid w:val="00E00509"/>
    <w:rsid w:val="00E366C0"/>
    <w:rsid w:val="00E850F7"/>
    <w:rsid w:val="00EA50F9"/>
    <w:rsid w:val="00EF37EA"/>
    <w:rsid w:val="00F013B0"/>
    <w:rsid w:val="00F26150"/>
    <w:rsid w:val="00F303E5"/>
    <w:rsid w:val="00F32240"/>
    <w:rsid w:val="00F57FA3"/>
    <w:rsid w:val="00FA0AA4"/>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4D4581"/>
    <w:pPr>
      <w:ind w:left="720"/>
      <w:contextualSpacing/>
    </w:pPr>
  </w:style>
  <w:style w:type="character" w:customStyle="1" w:styleId="Best2Char">
    <w:name w:val="Best2 Char"/>
    <w:basedOn w:val="DefaultParagraphFont"/>
    <w:link w:val="Best2"/>
    <w:locked/>
    <w:rsid w:val="00CA0E34"/>
    <w:rPr>
      <w:rFonts w:ascii="Times New Roman" w:hAnsi="Times New Roman" w:cs="Times New Roman"/>
    </w:rPr>
  </w:style>
  <w:style w:type="paragraph" w:customStyle="1" w:styleId="Best2">
    <w:name w:val="Best2"/>
    <w:basedOn w:val="Normal"/>
    <w:link w:val="Best2Char"/>
    <w:qFormat/>
    <w:rsid w:val="00CA0E34"/>
    <w:pPr>
      <w:numPr>
        <w:numId w:val="5"/>
      </w:numPr>
      <w:spacing w:after="120" w:line="300" w:lineRule="exact"/>
      <w:jc w:val="both"/>
    </w:pPr>
    <w:rPr>
      <w:rFonts w:ascii="Times New Roman" w:hAnsi="Times New Roman" w:cs="Times New Roman"/>
    </w:rPr>
  </w:style>
  <w:style w:type="paragraph" w:styleId="BalloonText">
    <w:name w:val="Balloon Text"/>
    <w:basedOn w:val="Normal"/>
    <w:link w:val="BalloonTextChar"/>
    <w:uiPriority w:val="99"/>
    <w:semiHidden/>
    <w:unhideWhenUsed/>
    <w:rsid w:val="005058D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058D8"/>
    <w:rPr>
      <w:rFonts w:ascii="Tahoma" w:hAnsi="Tahoma" w:cs="Tahoma"/>
      <w:sz w:val="16"/>
      <w:szCs w:val="16"/>
    </w:rPr>
  </w:style>
  <w:style w:type="character" w:customStyle="1" w:styleId="ListParagraphChar">
    <w:name w:val="List Paragraph Char"/>
    <w:link w:val="ListParagraph"/>
    <w:uiPriority w:val="34"/>
    <w:locked/>
    <w:rsid w:val="00287504"/>
  </w:style>
  <w:style w:type="table" w:styleId="TableGrid">
    <w:name w:val="Table Grid"/>
    <w:basedOn w:val="TableNormal"/>
    <w:uiPriority w:val="59"/>
    <w:rsid w:val="00E0050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F013B0"/>
    <w:pPr>
      <w:tabs>
        <w:tab w:val="center" w:pos="4252"/>
        <w:tab w:val="right" w:pos="8504"/>
      </w:tabs>
      <w:snapToGrid w:val="0"/>
    </w:pPr>
  </w:style>
  <w:style w:type="character" w:customStyle="1" w:styleId="HeaderChar">
    <w:name w:val="Header Char"/>
    <w:basedOn w:val="DefaultParagraphFont"/>
    <w:link w:val="Header"/>
    <w:uiPriority w:val="99"/>
    <w:rsid w:val="00F013B0"/>
  </w:style>
  <w:style w:type="paragraph" w:styleId="Footer">
    <w:name w:val="footer"/>
    <w:basedOn w:val="Normal"/>
    <w:link w:val="FooterChar"/>
    <w:uiPriority w:val="99"/>
    <w:unhideWhenUsed/>
    <w:rsid w:val="00F013B0"/>
    <w:pPr>
      <w:tabs>
        <w:tab w:val="center" w:pos="4252"/>
        <w:tab w:val="right" w:pos="8504"/>
      </w:tabs>
      <w:snapToGrid w:val="0"/>
    </w:pPr>
  </w:style>
  <w:style w:type="character" w:customStyle="1" w:styleId="FooterChar">
    <w:name w:val="Footer Char"/>
    <w:basedOn w:val="DefaultParagraphFont"/>
    <w:link w:val="Footer"/>
    <w:uiPriority w:val="99"/>
    <w:rsid w:val="00F013B0"/>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4D4581"/>
    <w:pPr>
      <w:ind w:left="720"/>
      <w:contextualSpacing/>
    </w:pPr>
  </w:style>
  <w:style w:type="character" w:customStyle="1" w:styleId="Best2Char">
    <w:name w:val="Best2 Char"/>
    <w:basedOn w:val="DefaultParagraphFont"/>
    <w:link w:val="Best2"/>
    <w:locked/>
    <w:rsid w:val="00CA0E34"/>
    <w:rPr>
      <w:rFonts w:ascii="Times New Roman" w:hAnsi="Times New Roman" w:cs="Times New Roman"/>
    </w:rPr>
  </w:style>
  <w:style w:type="paragraph" w:customStyle="1" w:styleId="Best2">
    <w:name w:val="Best2"/>
    <w:basedOn w:val="Normal"/>
    <w:link w:val="Best2Char"/>
    <w:qFormat/>
    <w:rsid w:val="00CA0E34"/>
    <w:pPr>
      <w:numPr>
        <w:numId w:val="5"/>
      </w:numPr>
      <w:spacing w:after="120" w:line="300" w:lineRule="exact"/>
      <w:jc w:val="both"/>
    </w:pPr>
    <w:rPr>
      <w:rFonts w:ascii="Times New Roman" w:hAnsi="Times New Roman" w:cs="Times New Roman"/>
    </w:rPr>
  </w:style>
  <w:style w:type="paragraph" w:styleId="BalloonText">
    <w:name w:val="Balloon Text"/>
    <w:basedOn w:val="Normal"/>
    <w:link w:val="BalloonTextChar"/>
    <w:uiPriority w:val="99"/>
    <w:semiHidden/>
    <w:unhideWhenUsed/>
    <w:rsid w:val="005058D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058D8"/>
    <w:rPr>
      <w:rFonts w:ascii="Tahoma" w:hAnsi="Tahoma" w:cs="Tahoma"/>
      <w:sz w:val="16"/>
      <w:szCs w:val="16"/>
    </w:rPr>
  </w:style>
  <w:style w:type="character" w:customStyle="1" w:styleId="ListParagraphChar">
    <w:name w:val="List Paragraph Char"/>
    <w:link w:val="ListParagraph"/>
    <w:uiPriority w:val="34"/>
    <w:locked/>
    <w:rsid w:val="00287504"/>
  </w:style>
  <w:style w:type="table" w:styleId="TableGrid">
    <w:name w:val="Table Grid"/>
    <w:basedOn w:val="TableNormal"/>
    <w:uiPriority w:val="59"/>
    <w:rsid w:val="00E0050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F013B0"/>
    <w:pPr>
      <w:tabs>
        <w:tab w:val="center" w:pos="4252"/>
        <w:tab w:val="right" w:pos="8504"/>
      </w:tabs>
      <w:snapToGrid w:val="0"/>
    </w:pPr>
  </w:style>
  <w:style w:type="character" w:customStyle="1" w:styleId="HeaderChar">
    <w:name w:val="Header Char"/>
    <w:basedOn w:val="DefaultParagraphFont"/>
    <w:link w:val="Header"/>
    <w:uiPriority w:val="99"/>
    <w:rsid w:val="00F013B0"/>
  </w:style>
  <w:style w:type="paragraph" w:styleId="Footer">
    <w:name w:val="footer"/>
    <w:basedOn w:val="Normal"/>
    <w:link w:val="FooterChar"/>
    <w:uiPriority w:val="99"/>
    <w:unhideWhenUsed/>
    <w:rsid w:val="00F013B0"/>
    <w:pPr>
      <w:tabs>
        <w:tab w:val="center" w:pos="4252"/>
        <w:tab w:val="right" w:pos="8504"/>
      </w:tabs>
      <w:snapToGrid w:val="0"/>
    </w:pPr>
  </w:style>
  <w:style w:type="character" w:customStyle="1" w:styleId="FooterChar">
    <w:name w:val="Footer Char"/>
    <w:basedOn w:val="DefaultParagraphFont"/>
    <w:link w:val="Footer"/>
    <w:uiPriority w:val="99"/>
    <w:rsid w:val="00F013B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2800188">
      <w:bodyDiv w:val="1"/>
      <w:marLeft w:val="0"/>
      <w:marRight w:val="0"/>
      <w:marTop w:val="0"/>
      <w:marBottom w:val="0"/>
      <w:divBdr>
        <w:top w:val="none" w:sz="0" w:space="0" w:color="auto"/>
        <w:left w:val="none" w:sz="0" w:space="0" w:color="auto"/>
        <w:bottom w:val="none" w:sz="0" w:space="0" w:color="auto"/>
        <w:right w:val="none" w:sz="0" w:space="0" w:color="auto"/>
      </w:divBdr>
    </w:div>
    <w:div w:id="528569038">
      <w:bodyDiv w:val="1"/>
      <w:marLeft w:val="0"/>
      <w:marRight w:val="0"/>
      <w:marTop w:val="0"/>
      <w:marBottom w:val="0"/>
      <w:divBdr>
        <w:top w:val="none" w:sz="0" w:space="0" w:color="auto"/>
        <w:left w:val="none" w:sz="0" w:space="0" w:color="auto"/>
        <w:bottom w:val="none" w:sz="0" w:space="0" w:color="auto"/>
        <w:right w:val="none" w:sz="0" w:space="0" w:color="auto"/>
      </w:divBdr>
    </w:div>
    <w:div w:id="822351818">
      <w:bodyDiv w:val="1"/>
      <w:marLeft w:val="0"/>
      <w:marRight w:val="0"/>
      <w:marTop w:val="0"/>
      <w:marBottom w:val="0"/>
      <w:divBdr>
        <w:top w:val="none" w:sz="0" w:space="0" w:color="auto"/>
        <w:left w:val="none" w:sz="0" w:space="0" w:color="auto"/>
        <w:bottom w:val="none" w:sz="0" w:space="0" w:color="auto"/>
        <w:right w:val="none" w:sz="0" w:space="0" w:color="auto"/>
      </w:divBdr>
    </w:div>
    <w:div w:id="1254048224">
      <w:bodyDiv w:val="1"/>
      <w:marLeft w:val="0"/>
      <w:marRight w:val="0"/>
      <w:marTop w:val="0"/>
      <w:marBottom w:val="0"/>
      <w:divBdr>
        <w:top w:val="none" w:sz="0" w:space="0" w:color="auto"/>
        <w:left w:val="none" w:sz="0" w:space="0" w:color="auto"/>
        <w:bottom w:val="none" w:sz="0" w:space="0" w:color="auto"/>
        <w:right w:val="none" w:sz="0" w:space="0" w:color="auto"/>
      </w:divBdr>
    </w:div>
    <w:div w:id="19661103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emf"/><Relationship Id="rId3" Type="http://schemas.microsoft.com/office/2007/relationships/stylesWithEffects" Target="stylesWithEffect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emf"/><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image" Target="media/image12.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3</Pages>
  <Words>2075</Words>
  <Characters>11832</Characters>
  <Application>Microsoft Office Word</Application>
  <DocSecurity>0</DocSecurity>
  <Lines>98</Lines>
  <Paragraphs>27</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
      <vt:lpstr/>
    </vt:vector>
  </TitlesOfParts>
  <Company>SPC</Company>
  <LinksUpToDate>false</LinksUpToDate>
  <CharactersWithSpaces>13880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Sam McKechnie;HN</dc:creator>
  <cp:lastModifiedBy>Anthony J. Beeching</cp:lastModifiedBy>
  <cp:revision>2</cp:revision>
  <dcterms:created xsi:type="dcterms:W3CDTF">2016-08-09T00:42:00Z</dcterms:created>
  <dcterms:modified xsi:type="dcterms:W3CDTF">2016-08-09T00:42:00Z</dcterms:modified>
</cp:coreProperties>
</file>